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CAFE" w14:textId="5C6D131B" w:rsidR="00B3192C" w:rsidRPr="00EC7CEF" w:rsidRDefault="00CD3F0D" w:rsidP="00EC7CEF">
      <w:pPr>
        <w:jc w:val="center"/>
        <w:rPr>
          <w:b/>
          <w:bCs w:val="0"/>
          <w:sz w:val="32"/>
          <w:szCs w:val="32"/>
        </w:rPr>
      </w:pPr>
      <w:bookmarkStart w:id="0" w:name="_Hlk66440809"/>
      <w:r w:rsidRPr="00EC7CEF">
        <w:rPr>
          <w:b/>
          <w:bCs w:val="0"/>
          <w:sz w:val="32"/>
          <w:szCs w:val="32"/>
        </w:rPr>
        <w:t xml:space="preserve">PISMO OKÓLNE </w:t>
      </w:r>
      <w:r w:rsidR="000B1112" w:rsidRPr="00EC7CEF">
        <w:rPr>
          <w:b/>
          <w:bCs w:val="0"/>
          <w:sz w:val="32"/>
          <w:szCs w:val="32"/>
        </w:rPr>
        <w:t xml:space="preserve">NR </w:t>
      </w:r>
      <w:r w:rsidR="00C508EE">
        <w:rPr>
          <w:b/>
          <w:bCs w:val="0"/>
          <w:sz w:val="32"/>
          <w:szCs w:val="32"/>
        </w:rPr>
        <w:t>7</w:t>
      </w:r>
    </w:p>
    <w:p w14:paraId="43913EB4" w14:textId="77777777" w:rsidR="00507D49" w:rsidRPr="007105B9" w:rsidRDefault="00507D49" w:rsidP="00DB68A2">
      <w:pPr>
        <w:pStyle w:val="Podtytu"/>
        <w:outlineLvl w:val="9"/>
        <w:rPr>
          <w:rFonts w:ascii="Times New Roman" w:hAnsi="Times New Roman"/>
          <w:sz w:val="28"/>
          <w:szCs w:val="28"/>
        </w:rPr>
      </w:pPr>
      <w:r w:rsidRPr="007105B9">
        <w:rPr>
          <w:rFonts w:ascii="Times New Roman" w:hAnsi="Times New Roman"/>
          <w:sz w:val="28"/>
          <w:szCs w:val="28"/>
        </w:rPr>
        <w:t>Rektora Zachodniopomorskiego Uniwersytetu Technologicznego w Szczecinie</w:t>
      </w:r>
    </w:p>
    <w:p w14:paraId="361F48D2" w14:textId="4897FD92" w:rsidR="00507D49" w:rsidRPr="007105B9" w:rsidRDefault="00507D49" w:rsidP="00DB68A2">
      <w:pPr>
        <w:pStyle w:val="data"/>
        <w:outlineLvl w:val="9"/>
        <w:rPr>
          <w:rFonts w:ascii="Times New Roman" w:hAnsi="Times New Roman"/>
          <w:sz w:val="28"/>
          <w:szCs w:val="28"/>
        </w:rPr>
      </w:pPr>
      <w:r w:rsidRPr="007105B9">
        <w:rPr>
          <w:rFonts w:ascii="Times New Roman" w:hAnsi="Times New Roman"/>
          <w:sz w:val="28"/>
          <w:szCs w:val="28"/>
        </w:rPr>
        <w:t xml:space="preserve">z dnia </w:t>
      </w:r>
      <w:r w:rsidR="00C508EE">
        <w:rPr>
          <w:rFonts w:ascii="Times New Roman" w:hAnsi="Times New Roman"/>
          <w:sz w:val="28"/>
          <w:szCs w:val="28"/>
        </w:rPr>
        <w:t>13</w:t>
      </w:r>
      <w:r w:rsidR="006C4ED9">
        <w:rPr>
          <w:rFonts w:ascii="Times New Roman" w:hAnsi="Times New Roman"/>
          <w:sz w:val="28"/>
          <w:szCs w:val="28"/>
        </w:rPr>
        <w:t xml:space="preserve"> kwietnia</w:t>
      </w:r>
      <w:r w:rsidR="008C4AE0">
        <w:rPr>
          <w:rFonts w:ascii="Times New Roman" w:hAnsi="Times New Roman"/>
          <w:sz w:val="28"/>
          <w:szCs w:val="28"/>
        </w:rPr>
        <w:t xml:space="preserve"> 2021 </w:t>
      </w:r>
      <w:r w:rsidRPr="007105B9">
        <w:rPr>
          <w:rFonts w:ascii="Times New Roman" w:hAnsi="Times New Roman"/>
          <w:sz w:val="28"/>
          <w:szCs w:val="28"/>
        </w:rPr>
        <w:t>r.</w:t>
      </w:r>
    </w:p>
    <w:p w14:paraId="69397A6D" w14:textId="37998E8E" w:rsidR="00507D49" w:rsidRPr="00A35DB7" w:rsidRDefault="00E97F52" w:rsidP="00FB5526">
      <w:pPr>
        <w:jc w:val="center"/>
        <w:rPr>
          <w:b/>
          <w:bCs w:val="0"/>
        </w:rPr>
      </w:pPr>
      <w:r w:rsidRPr="00A35DB7">
        <w:rPr>
          <w:b/>
          <w:bCs w:val="0"/>
        </w:rPr>
        <w:t>w sprawie</w:t>
      </w:r>
      <w:r w:rsidR="00BC6B95" w:rsidRPr="00A35DB7">
        <w:rPr>
          <w:b/>
          <w:bCs w:val="0"/>
        </w:rPr>
        <w:t xml:space="preserve"> </w:t>
      </w:r>
      <w:r w:rsidR="004A6460" w:rsidRPr="00A35DB7">
        <w:rPr>
          <w:b/>
          <w:bCs w:val="0"/>
        </w:rPr>
        <w:t xml:space="preserve">Procedury </w:t>
      </w:r>
      <w:r w:rsidR="004D17B5" w:rsidRPr="00A35DB7">
        <w:rPr>
          <w:b/>
          <w:bCs w:val="0"/>
        </w:rPr>
        <w:t>zatrudni</w:t>
      </w:r>
      <w:r w:rsidR="00357921" w:rsidRPr="00A35DB7">
        <w:rPr>
          <w:b/>
          <w:bCs w:val="0"/>
        </w:rPr>
        <w:t>a</w:t>
      </w:r>
      <w:r w:rsidR="004D17B5" w:rsidRPr="00A35DB7">
        <w:rPr>
          <w:b/>
          <w:bCs w:val="0"/>
        </w:rPr>
        <w:t>nia</w:t>
      </w:r>
      <w:r w:rsidR="00726CCD" w:rsidRPr="00A35DB7">
        <w:rPr>
          <w:b/>
          <w:bCs w:val="0"/>
        </w:rPr>
        <w:t xml:space="preserve"> </w:t>
      </w:r>
      <w:r w:rsidR="008770B1" w:rsidRPr="00A35DB7">
        <w:rPr>
          <w:b/>
          <w:bCs w:val="0"/>
        </w:rPr>
        <w:t>oraz</w:t>
      </w:r>
      <w:r w:rsidR="004A6460" w:rsidRPr="00A35DB7">
        <w:rPr>
          <w:b/>
          <w:bCs w:val="0"/>
        </w:rPr>
        <w:t xml:space="preserve"> </w:t>
      </w:r>
      <w:r w:rsidR="00831FC6">
        <w:rPr>
          <w:b/>
          <w:bCs w:val="0"/>
        </w:rPr>
        <w:t xml:space="preserve">przebiegu </w:t>
      </w:r>
      <w:r w:rsidR="004A6460" w:rsidRPr="00A35DB7">
        <w:rPr>
          <w:b/>
          <w:bCs w:val="0"/>
        </w:rPr>
        <w:t xml:space="preserve">rozwoju zawodowego </w:t>
      </w:r>
      <w:r w:rsidR="004D17B5" w:rsidRPr="00A35DB7">
        <w:rPr>
          <w:b/>
          <w:bCs w:val="0"/>
        </w:rPr>
        <w:t>pracowników</w:t>
      </w:r>
      <w:r w:rsidR="00B605C3" w:rsidRPr="00A35DB7">
        <w:rPr>
          <w:b/>
          <w:bCs w:val="0"/>
        </w:rPr>
        <w:t xml:space="preserve"> </w:t>
      </w:r>
      <w:r w:rsidR="0049494D" w:rsidRPr="00A35DB7">
        <w:rPr>
          <w:b/>
          <w:bCs w:val="0"/>
        </w:rPr>
        <w:br/>
        <w:t>Zachodniopomorski</w:t>
      </w:r>
      <w:r w:rsidR="00667971" w:rsidRPr="00A35DB7">
        <w:rPr>
          <w:b/>
          <w:bCs w:val="0"/>
        </w:rPr>
        <w:t>ego</w:t>
      </w:r>
      <w:r w:rsidR="0049494D" w:rsidRPr="00A35DB7">
        <w:rPr>
          <w:b/>
          <w:bCs w:val="0"/>
        </w:rPr>
        <w:t xml:space="preserve"> Uniwersyte</w:t>
      </w:r>
      <w:r w:rsidR="00667971" w:rsidRPr="00A35DB7">
        <w:rPr>
          <w:b/>
          <w:bCs w:val="0"/>
        </w:rPr>
        <w:t>tu</w:t>
      </w:r>
      <w:r w:rsidR="0049494D" w:rsidRPr="00A35DB7">
        <w:rPr>
          <w:b/>
          <w:bCs w:val="0"/>
        </w:rPr>
        <w:t xml:space="preserve"> Technologiczn</w:t>
      </w:r>
      <w:r w:rsidR="00667971" w:rsidRPr="00A35DB7">
        <w:rPr>
          <w:b/>
          <w:bCs w:val="0"/>
        </w:rPr>
        <w:t>ego</w:t>
      </w:r>
      <w:r w:rsidR="0049494D" w:rsidRPr="00A35DB7">
        <w:rPr>
          <w:b/>
          <w:bCs w:val="0"/>
        </w:rPr>
        <w:t xml:space="preserve"> w Szczecinie </w:t>
      </w:r>
    </w:p>
    <w:p w14:paraId="56915847" w14:textId="495CAEFB" w:rsidR="001C4EE8" w:rsidRPr="00C508EE" w:rsidRDefault="00CC646F" w:rsidP="00A35DB7">
      <w:pPr>
        <w:pStyle w:val="podstawaprawna"/>
        <w:rPr>
          <w:rFonts w:eastAsia="Calibri"/>
          <w:color w:val="auto"/>
          <w:spacing w:val="1"/>
        </w:rPr>
      </w:pPr>
      <w:r w:rsidRPr="00A35DB7">
        <w:rPr>
          <w:color w:val="auto"/>
        </w:rPr>
        <w:t xml:space="preserve">W związku z zarządzeniem nr 76 Rektora ZUT z dnia 28 maja 2020 r. w sprawie realizacji działań wynikających z posiadania wyróżnienia „HR Excellence in </w:t>
      </w:r>
      <w:r w:rsidRPr="00481EFD">
        <w:rPr>
          <w:color w:val="auto"/>
        </w:rPr>
        <w:t>Research</w:t>
      </w:r>
      <w:r w:rsidRPr="00A35DB7">
        <w:rPr>
          <w:color w:val="auto"/>
        </w:rPr>
        <w:t xml:space="preserve">”, które </w:t>
      </w:r>
      <w:r w:rsidR="009012AD" w:rsidRPr="00A35DB7">
        <w:rPr>
          <w:color w:val="auto"/>
        </w:rPr>
        <w:t>obliguje Uczelnię do</w:t>
      </w:r>
      <w:r w:rsidR="007A30D8">
        <w:rPr>
          <w:color w:val="auto"/>
        </w:rPr>
        <w:t> </w:t>
      </w:r>
      <w:r w:rsidR="009012AD" w:rsidRPr="00A35DB7">
        <w:rPr>
          <w:rFonts w:eastAsia="Calibri"/>
          <w:color w:val="auto"/>
          <w:spacing w:val="-4"/>
        </w:rPr>
        <w:t xml:space="preserve">wykonania działania  </w:t>
      </w:r>
      <w:r w:rsidRPr="00A35DB7">
        <w:rPr>
          <w:color w:val="auto"/>
        </w:rPr>
        <w:t xml:space="preserve">pn. </w:t>
      </w:r>
      <w:r w:rsidRPr="00A35DB7">
        <w:rPr>
          <w:rFonts w:eastAsia="Calibri"/>
          <w:color w:val="auto"/>
          <w:spacing w:val="1"/>
        </w:rPr>
        <w:t>Przewodnik po zatrudnieniu wraz z dobrymi akademickimi praktykami w</w:t>
      </w:r>
      <w:r w:rsidR="006D7C01">
        <w:rPr>
          <w:rFonts w:eastAsia="Calibri"/>
          <w:color w:val="auto"/>
          <w:spacing w:val="1"/>
        </w:rPr>
        <w:t> </w:t>
      </w:r>
      <w:r w:rsidRPr="00A35DB7">
        <w:rPr>
          <w:rFonts w:eastAsia="Calibri"/>
          <w:color w:val="auto"/>
          <w:spacing w:val="1"/>
        </w:rPr>
        <w:t>tym zakresie,</w:t>
      </w:r>
      <w:r w:rsidR="009E5FC1" w:rsidRPr="00A35DB7">
        <w:rPr>
          <w:rFonts w:eastAsia="Calibri"/>
          <w:color w:val="auto"/>
          <w:spacing w:val="1"/>
        </w:rPr>
        <w:t xml:space="preserve"> określający</w:t>
      </w:r>
      <w:r w:rsidR="001C4EE8" w:rsidRPr="00A35DB7">
        <w:rPr>
          <w:rFonts w:eastAsia="Calibri"/>
          <w:color w:val="auto"/>
          <w:spacing w:val="1"/>
        </w:rPr>
        <w:t xml:space="preserve"> </w:t>
      </w:r>
      <w:r w:rsidR="009A4F89" w:rsidRPr="00A35DB7">
        <w:rPr>
          <w:rFonts w:eastAsia="Calibri"/>
          <w:color w:val="auto"/>
          <w:spacing w:val="1"/>
        </w:rPr>
        <w:t>zasady rekrutacji, zatrudnienia</w:t>
      </w:r>
      <w:r w:rsidR="001C4EE8" w:rsidRPr="00A35DB7">
        <w:rPr>
          <w:rFonts w:eastAsia="Calibri"/>
          <w:color w:val="auto"/>
          <w:spacing w:val="1"/>
        </w:rPr>
        <w:t xml:space="preserve"> </w:t>
      </w:r>
      <w:r w:rsidR="009A4F89" w:rsidRPr="00A35DB7">
        <w:rPr>
          <w:rFonts w:eastAsia="Calibri"/>
          <w:color w:val="auto"/>
          <w:spacing w:val="1"/>
        </w:rPr>
        <w:t xml:space="preserve">i innych </w:t>
      </w:r>
      <w:r w:rsidR="001C4EE8" w:rsidRPr="00A35DB7">
        <w:rPr>
          <w:rFonts w:eastAsia="Calibri"/>
          <w:color w:val="auto"/>
          <w:spacing w:val="1"/>
        </w:rPr>
        <w:t xml:space="preserve">kwestii na różnych etapach kariery pracowników, </w:t>
      </w:r>
      <w:r w:rsidR="009E5FC1" w:rsidRPr="00A35DB7">
        <w:rPr>
          <w:rFonts w:eastAsia="Calibri"/>
          <w:color w:val="auto"/>
          <w:spacing w:val="1"/>
        </w:rPr>
        <w:t xml:space="preserve">także w celu </w:t>
      </w:r>
      <w:r w:rsidR="009E5FC1" w:rsidRPr="00A35DB7">
        <w:rPr>
          <w:color w:val="auto"/>
        </w:rPr>
        <w:t xml:space="preserve">znacznej poprawy warunków zatrudniania poprzez uczciwą, </w:t>
      </w:r>
      <w:r w:rsidR="009E5FC1" w:rsidRPr="00C508EE">
        <w:rPr>
          <w:color w:val="auto"/>
        </w:rPr>
        <w:t xml:space="preserve">otwartą, efektywną i przejrzystą procedurę rekrutacyjną w Uczelni, </w:t>
      </w:r>
      <w:r w:rsidR="000B1112" w:rsidRPr="00C508EE">
        <w:rPr>
          <w:color w:val="auto"/>
        </w:rPr>
        <w:t>informuję o</w:t>
      </w:r>
      <w:r w:rsidR="00C508EE" w:rsidRPr="00C508EE">
        <w:rPr>
          <w:color w:val="auto"/>
        </w:rPr>
        <w:t xml:space="preserve"> Procedurze </w:t>
      </w:r>
      <w:r w:rsidR="00C508EE" w:rsidRPr="00D74288">
        <w:rPr>
          <w:color w:val="auto"/>
          <w:spacing w:val="-4"/>
        </w:rPr>
        <w:t>zatrudniania oraz przebiegu rozwoju zawodowego pracowników Zachodniopomorskiego Uniwersytetu</w:t>
      </w:r>
      <w:r w:rsidR="00C508EE" w:rsidRPr="00C508EE">
        <w:rPr>
          <w:color w:val="auto"/>
        </w:rPr>
        <w:t xml:space="preserve"> Technologicznego w Szczecinie, która </w:t>
      </w:r>
      <w:r w:rsidR="000B1112" w:rsidRPr="00C508EE">
        <w:rPr>
          <w:color w:val="auto"/>
        </w:rPr>
        <w:t>stanowi załącznik</w:t>
      </w:r>
      <w:r w:rsidR="00C508EE" w:rsidRPr="00C508EE">
        <w:rPr>
          <w:color w:val="auto"/>
        </w:rPr>
        <w:t xml:space="preserve"> do niniejszego pisma okólnego</w:t>
      </w:r>
      <w:r w:rsidR="005B76D0" w:rsidRPr="00C508EE">
        <w:rPr>
          <w:color w:val="auto"/>
        </w:rPr>
        <w:t>.</w:t>
      </w:r>
    </w:p>
    <w:p w14:paraId="0E1AA70F" w14:textId="7FEF45CB" w:rsidR="00807FA8" w:rsidRPr="00A35DB7" w:rsidRDefault="00807FA8" w:rsidP="00D74288">
      <w:pPr>
        <w:pStyle w:val="rektorpodpis"/>
        <w:spacing w:before="480" w:line="840" w:lineRule="auto"/>
        <w:outlineLvl w:val="9"/>
        <w:rPr>
          <w:color w:val="auto"/>
        </w:rPr>
      </w:pPr>
      <w:r w:rsidRPr="00A35DB7">
        <w:rPr>
          <w:color w:val="auto"/>
        </w:rPr>
        <w:t>Rektor</w:t>
      </w:r>
      <w:r w:rsidR="00AC5A7D" w:rsidRPr="00A35DB7">
        <w:rPr>
          <w:color w:val="auto"/>
        </w:rPr>
        <w:br/>
      </w:r>
      <w:r w:rsidRPr="00A35DB7">
        <w:rPr>
          <w:color w:val="auto"/>
        </w:rPr>
        <w:t>dr hab. inż. Jacek Wróbel,</w:t>
      </w:r>
      <w:r w:rsidR="00D35EDE" w:rsidRPr="00A35DB7">
        <w:rPr>
          <w:color w:val="auto"/>
        </w:rPr>
        <w:t xml:space="preserve"> p</w:t>
      </w:r>
      <w:r w:rsidR="00357263" w:rsidRPr="00A35DB7">
        <w:rPr>
          <w:color w:val="auto"/>
        </w:rPr>
        <w:t>rof.</w:t>
      </w:r>
      <w:r w:rsidRPr="00A35DB7">
        <w:rPr>
          <w:color w:val="auto"/>
        </w:rPr>
        <w:t xml:space="preserve"> ZUT </w:t>
      </w:r>
    </w:p>
    <w:bookmarkEnd w:id="0"/>
    <w:p w14:paraId="1B27F9E7" w14:textId="1AA2C5A2" w:rsidR="007105B9" w:rsidRDefault="007105B9">
      <w:pPr>
        <w:spacing w:line="240" w:lineRule="auto"/>
        <w:jc w:val="left"/>
      </w:pPr>
      <w:r>
        <w:br w:type="page"/>
      </w:r>
    </w:p>
    <w:p w14:paraId="665D6C2B" w14:textId="77777777" w:rsidR="001C7CB0" w:rsidRDefault="001C7CB0" w:rsidP="00206331">
      <w:pPr>
        <w:spacing w:after="360"/>
        <w:ind w:firstLine="708"/>
        <w:jc w:val="right"/>
        <w:sectPr w:rsidR="001C7CB0" w:rsidSect="00C1548E">
          <w:footerReference w:type="default" r:id="rId9"/>
          <w:pgSz w:w="11906" w:h="16838" w:code="9"/>
          <w:pgMar w:top="851" w:right="851" w:bottom="567" w:left="1418" w:header="709" w:footer="709" w:gutter="0"/>
          <w:cols w:space="708"/>
          <w:titlePg/>
          <w:docGrid w:linePitch="360"/>
        </w:sectPr>
      </w:pPr>
    </w:p>
    <w:p w14:paraId="5C8069A2" w14:textId="394619F1" w:rsidR="00D64C1C" w:rsidRPr="004A02A1" w:rsidRDefault="002D6C16" w:rsidP="00206331">
      <w:pPr>
        <w:spacing w:after="360"/>
        <w:ind w:firstLine="708"/>
        <w:jc w:val="right"/>
        <w:rPr>
          <w:sz w:val="20"/>
        </w:rPr>
      </w:pPr>
      <w:r w:rsidRPr="004A02A1">
        <w:rPr>
          <w:sz w:val="20"/>
        </w:rPr>
        <w:lastRenderedPageBreak/>
        <w:t>Za</w:t>
      </w:r>
      <w:r w:rsidR="004D1333" w:rsidRPr="004A02A1">
        <w:rPr>
          <w:sz w:val="20"/>
        </w:rPr>
        <w:t xml:space="preserve">łącznik </w:t>
      </w:r>
      <w:r w:rsidRPr="004A02A1">
        <w:rPr>
          <w:sz w:val="20"/>
        </w:rPr>
        <w:br/>
      </w:r>
      <w:r w:rsidR="004D1333" w:rsidRPr="004A02A1">
        <w:rPr>
          <w:sz w:val="20"/>
        </w:rPr>
        <w:t>do pisma okólnego</w:t>
      </w:r>
      <w:r w:rsidR="002F7038" w:rsidRPr="004A02A1">
        <w:rPr>
          <w:sz w:val="20"/>
        </w:rPr>
        <w:t xml:space="preserve"> nr </w:t>
      </w:r>
      <w:r w:rsidR="00C508EE" w:rsidRPr="004A02A1">
        <w:rPr>
          <w:sz w:val="20"/>
        </w:rPr>
        <w:t>7</w:t>
      </w:r>
      <w:r w:rsidR="002F7038" w:rsidRPr="004A02A1">
        <w:rPr>
          <w:sz w:val="20"/>
        </w:rPr>
        <w:t xml:space="preserve"> Rektora ZUT z dnia </w:t>
      </w:r>
      <w:r w:rsidR="00C508EE" w:rsidRPr="004A02A1">
        <w:rPr>
          <w:sz w:val="20"/>
        </w:rPr>
        <w:t>13</w:t>
      </w:r>
      <w:r w:rsidR="002F7038" w:rsidRPr="004A02A1">
        <w:rPr>
          <w:sz w:val="20"/>
        </w:rPr>
        <w:t xml:space="preserve"> </w:t>
      </w:r>
      <w:r w:rsidR="00EC7CEF" w:rsidRPr="004A02A1">
        <w:rPr>
          <w:sz w:val="20"/>
        </w:rPr>
        <w:t>kwietnia</w:t>
      </w:r>
      <w:r w:rsidR="002F7038" w:rsidRPr="004A02A1">
        <w:rPr>
          <w:sz w:val="20"/>
        </w:rPr>
        <w:t xml:space="preserve"> 2021 r.</w:t>
      </w:r>
    </w:p>
    <w:p w14:paraId="7FC54C95" w14:textId="7C027DB2" w:rsidR="00D64C1C" w:rsidRPr="00EC7CEF" w:rsidRDefault="005A174A" w:rsidP="00EC7CEF">
      <w:pPr>
        <w:pStyle w:val="Tytu"/>
        <w:rPr>
          <w:bCs/>
          <w:sz w:val="26"/>
          <w:szCs w:val="26"/>
        </w:rPr>
      </w:pPr>
      <w:r w:rsidRPr="00EC7CEF">
        <w:rPr>
          <w:sz w:val="26"/>
          <w:szCs w:val="26"/>
        </w:rPr>
        <w:t xml:space="preserve">Procedura zatrudniania </w:t>
      </w:r>
      <w:r w:rsidR="008770B1" w:rsidRPr="00EC7CEF">
        <w:rPr>
          <w:sz w:val="26"/>
          <w:szCs w:val="26"/>
        </w:rPr>
        <w:t>oraz</w:t>
      </w:r>
      <w:r w:rsidRPr="00EC7CEF">
        <w:rPr>
          <w:sz w:val="26"/>
          <w:szCs w:val="26"/>
        </w:rPr>
        <w:t xml:space="preserve"> przebiegu rozwoju zawodowego </w:t>
      </w:r>
      <w:r w:rsidR="00B605C3" w:rsidRPr="00EC7CEF">
        <w:rPr>
          <w:sz w:val="26"/>
          <w:szCs w:val="26"/>
        </w:rPr>
        <w:t xml:space="preserve">pracowników </w:t>
      </w:r>
      <w:r w:rsidR="00DB68A2" w:rsidRPr="00EC7CEF">
        <w:rPr>
          <w:sz w:val="26"/>
          <w:szCs w:val="26"/>
        </w:rPr>
        <w:t>ZUT</w:t>
      </w:r>
    </w:p>
    <w:sdt>
      <w:sdt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id w:val="-1348711050"/>
        <w:docPartObj>
          <w:docPartGallery w:val="Table of Contents"/>
          <w:docPartUnique/>
        </w:docPartObj>
      </w:sdtPr>
      <w:sdtEndPr>
        <w:rPr>
          <w:b/>
          <w:szCs w:val="20"/>
        </w:rPr>
      </w:sdtEndPr>
      <w:sdtContent>
        <w:p w14:paraId="4913BCB0" w14:textId="77777777" w:rsidR="00B3192C" w:rsidRPr="00EC7CEF" w:rsidRDefault="00B3192C" w:rsidP="00935200">
          <w:pPr>
            <w:pStyle w:val="Nagwekspisutreci"/>
            <w:keepNext w:val="0"/>
            <w:spacing w:before="0" w:after="240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EC7CEF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Spis treści</w:t>
          </w:r>
        </w:p>
        <w:p w14:paraId="0CC7E72E" w14:textId="7BEADAA3" w:rsidR="00566FA1" w:rsidRPr="00566FA1" w:rsidRDefault="00B3192C" w:rsidP="00D40832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r w:rsidRPr="00CB6E1C">
            <w:rPr>
              <w:sz w:val="21"/>
              <w:szCs w:val="21"/>
            </w:rPr>
            <w:fldChar w:fldCharType="begin"/>
          </w:r>
          <w:r w:rsidRPr="00CB6E1C">
            <w:rPr>
              <w:sz w:val="21"/>
              <w:szCs w:val="21"/>
            </w:rPr>
            <w:instrText xml:space="preserve"> TOC \o "1-3" \h \z \u </w:instrText>
          </w:r>
          <w:r w:rsidRPr="00CB6E1C">
            <w:rPr>
              <w:sz w:val="21"/>
              <w:szCs w:val="21"/>
            </w:rPr>
            <w:fldChar w:fldCharType="separate"/>
          </w:r>
          <w:hyperlink w:anchor="_Toc66431367" w:history="1">
            <w:r w:rsidR="00566FA1" w:rsidRPr="00566FA1">
              <w:rPr>
                <w:rStyle w:val="Hipercze"/>
              </w:rPr>
              <w:t>Cel</w:t>
            </w:r>
            <w:r w:rsidR="00D40832">
              <w:rPr>
                <w:rStyle w:val="Hipercze"/>
              </w:rPr>
              <w:t xml:space="preserve"> </w:t>
            </w:r>
            <w:r w:rsidR="00566FA1" w:rsidRPr="00206331">
              <w:rPr>
                <w:b w:val="0"/>
                <w:webHidden/>
              </w:rPr>
              <w:tab/>
            </w:r>
            <w:r w:rsidR="00566FA1" w:rsidRPr="00206331">
              <w:rPr>
                <w:b w:val="0"/>
                <w:webHidden/>
              </w:rPr>
              <w:fldChar w:fldCharType="begin"/>
            </w:r>
            <w:r w:rsidR="00566FA1" w:rsidRPr="00206331">
              <w:rPr>
                <w:b w:val="0"/>
                <w:webHidden/>
              </w:rPr>
              <w:instrText xml:space="preserve"> PAGEREF _Toc66431367 \h </w:instrText>
            </w:r>
            <w:r w:rsidR="00566FA1" w:rsidRPr="00206331">
              <w:rPr>
                <w:b w:val="0"/>
                <w:webHidden/>
              </w:rPr>
            </w:r>
            <w:r w:rsidR="00566FA1" w:rsidRPr="00206331">
              <w:rPr>
                <w:b w:val="0"/>
                <w:webHidden/>
              </w:rPr>
              <w:fldChar w:fldCharType="separate"/>
            </w:r>
            <w:r w:rsidR="008F644D">
              <w:rPr>
                <w:b w:val="0"/>
                <w:webHidden/>
              </w:rPr>
              <w:t>2</w:t>
            </w:r>
            <w:r w:rsidR="00566FA1" w:rsidRPr="00206331">
              <w:rPr>
                <w:b w:val="0"/>
                <w:webHidden/>
              </w:rPr>
              <w:fldChar w:fldCharType="end"/>
            </w:r>
          </w:hyperlink>
        </w:p>
        <w:p w14:paraId="6BFC8907" w14:textId="282AD89E" w:rsidR="00566FA1" w:rsidRPr="00566FA1" w:rsidRDefault="004A02A1" w:rsidP="00D40832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68" w:history="1">
            <w:r w:rsidR="00566FA1" w:rsidRPr="00566FA1">
              <w:rPr>
                <w:rStyle w:val="Hipercze"/>
              </w:rPr>
              <w:t>Przedmiot</w:t>
            </w:r>
            <w:r w:rsidR="00206331">
              <w:rPr>
                <w:rStyle w:val="Hipercze"/>
              </w:rPr>
              <w:t xml:space="preserve"> </w:t>
            </w:r>
            <w:r w:rsidR="00566FA1" w:rsidRPr="00206331">
              <w:rPr>
                <w:b w:val="0"/>
                <w:webHidden/>
              </w:rPr>
              <w:tab/>
            </w:r>
            <w:r w:rsidR="00566FA1" w:rsidRPr="00206331">
              <w:rPr>
                <w:b w:val="0"/>
                <w:webHidden/>
              </w:rPr>
              <w:fldChar w:fldCharType="begin"/>
            </w:r>
            <w:r w:rsidR="00566FA1" w:rsidRPr="00206331">
              <w:rPr>
                <w:b w:val="0"/>
                <w:webHidden/>
              </w:rPr>
              <w:instrText xml:space="preserve"> PAGEREF _Toc66431368 \h </w:instrText>
            </w:r>
            <w:r w:rsidR="00566FA1" w:rsidRPr="00206331">
              <w:rPr>
                <w:b w:val="0"/>
                <w:webHidden/>
              </w:rPr>
            </w:r>
            <w:r w:rsidR="00566FA1" w:rsidRPr="00206331">
              <w:rPr>
                <w:b w:val="0"/>
                <w:webHidden/>
              </w:rPr>
              <w:fldChar w:fldCharType="separate"/>
            </w:r>
            <w:r w:rsidR="008F644D">
              <w:rPr>
                <w:b w:val="0"/>
                <w:webHidden/>
              </w:rPr>
              <w:t>2</w:t>
            </w:r>
            <w:r w:rsidR="00566FA1" w:rsidRPr="00206331">
              <w:rPr>
                <w:b w:val="0"/>
                <w:webHidden/>
              </w:rPr>
              <w:fldChar w:fldCharType="end"/>
            </w:r>
          </w:hyperlink>
        </w:p>
        <w:p w14:paraId="5221D005" w14:textId="3341DE35" w:rsidR="00566FA1" w:rsidRPr="00566FA1" w:rsidRDefault="004A02A1" w:rsidP="00D40832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69" w:history="1">
            <w:r w:rsidR="00566FA1" w:rsidRPr="00566FA1">
              <w:rPr>
                <w:rStyle w:val="Hipercze"/>
              </w:rPr>
              <w:t>Dział 1. Rekrutacja i zatrudnianie</w:t>
            </w:r>
            <w:r w:rsidR="00566FA1" w:rsidRPr="00206331">
              <w:rPr>
                <w:b w:val="0"/>
                <w:webHidden/>
              </w:rPr>
              <w:tab/>
            </w:r>
            <w:r w:rsidR="00566FA1" w:rsidRPr="00206331">
              <w:rPr>
                <w:b w:val="0"/>
                <w:webHidden/>
              </w:rPr>
              <w:fldChar w:fldCharType="begin"/>
            </w:r>
            <w:r w:rsidR="00566FA1" w:rsidRPr="00206331">
              <w:rPr>
                <w:b w:val="0"/>
                <w:webHidden/>
              </w:rPr>
              <w:instrText xml:space="preserve"> PAGEREF _Toc66431369 \h </w:instrText>
            </w:r>
            <w:r w:rsidR="00566FA1" w:rsidRPr="00206331">
              <w:rPr>
                <w:b w:val="0"/>
                <w:webHidden/>
              </w:rPr>
            </w:r>
            <w:r w:rsidR="00566FA1" w:rsidRPr="00206331">
              <w:rPr>
                <w:b w:val="0"/>
                <w:webHidden/>
              </w:rPr>
              <w:fldChar w:fldCharType="separate"/>
            </w:r>
            <w:r w:rsidR="008F644D">
              <w:rPr>
                <w:b w:val="0"/>
                <w:webHidden/>
              </w:rPr>
              <w:t>2</w:t>
            </w:r>
            <w:r w:rsidR="00566FA1" w:rsidRPr="00206331">
              <w:rPr>
                <w:b w:val="0"/>
                <w:webHidden/>
              </w:rPr>
              <w:fldChar w:fldCharType="end"/>
            </w:r>
          </w:hyperlink>
        </w:p>
        <w:p w14:paraId="76364108" w14:textId="098E5532" w:rsidR="00566FA1" w:rsidRPr="00566FA1" w:rsidRDefault="004A02A1" w:rsidP="00D40832">
          <w:pPr>
            <w:pStyle w:val="Spistreci2"/>
            <w:spacing w:before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70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1.1. Zatrudnianie nauczycieli akademickich w pełnym wymiarze czasu pracy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_Toc66431370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2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1A69BB5B" w14:textId="72319004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71" w:history="1">
            <w:r w:rsidR="00566FA1" w:rsidRPr="00566FA1">
              <w:rPr>
                <w:rStyle w:val="Hipercze"/>
                <w:sz w:val="22"/>
                <w:szCs w:val="22"/>
              </w:rPr>
              <w:t>1.1.1. Ogłoszenie konkursu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_Toc66431371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2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654557D1" w14:textId="20E337E4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72" w:history="1">
            <w:r w:rsidR="00566FA1" w:rsidRPr="00566FA1">
              <w:rPr>
                <w:rStyle w:val="Hipercze"/>
                <w:sz w:val="22"/>
                <w:szCs w:val="22"/>
              </w:rPr>
              <w:t>1.1.2. Powołanie komisji konkursowej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_Toc66431372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3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3046CAE3" w14:textId="0BAF9007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73" w:history="1">
            <w:r w:rsidR="00566FA1" w:rsidRPr="00566FA1">
              <w:rPr>
                <w:rStyle w:val="Hipercze"/>
                <w:sz w:val="22"/>
                <w:szCs w:val="22"/>
              </w:rPr>
              <w:t>1.1.3. Przeprowadzenie konkursu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_Toc66431373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3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26E237C4" w14:textId="34C85513" w:rsidR="00566FA1" w:rsidRPr="00566FA1" w:rsidRDefault="004A02A1" w:rsidP="00D40832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74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1.2. Zatrudnianie nauczycieli akademickich w niepełnym wymiarze czasu pracy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_Toc66431374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4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4F8210C0" w14:textId="0577872B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75" w:history="1">
            <w:r w:rsidR="00566FA1" w:rsidRPr="00566FA1">
              <w:rPr>
                <w:rStyle w:val="Hipercze"/>
                <w:sz w:val="22"/>
                <w:szCs w:val="22"/>
              </w:rPr>
              <w:t>1.2.1. Ogłoszenie naboru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_Toc66431375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4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4BC97894" w14:textId="09FE8CA8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76" w:history="1">
            <w:r w:rsidR="00566FA1" w:rsidRPr="00566FA1">
              <w:rPr>
                <w:rStyle w:val="Hipercze"/>
                <w:sz w:val="22"/>
                <w:szCs w:val="22"/>
              </w:rPr>
              <w:t>1.2.2. Powołanie komisji naboru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_Toc66431376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4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0B23B603" w14:textId="509CE16F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77" w:history="1">
            <w:r w:rsidR="00566FA1" w:rsidRPr="00566FA1">
              <w:rPr>
                <w:rStyle w:val="Hipercze"/>
                <w:sz w:val="22"/>
                <w:szCs w:val="22"/>
              </w:rPr>
              <w:t>1.2.3. Przeprowadzenie naboru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_Toc66431377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5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740A484F" w14:textId="51EDCCC1" w:rsidR="00566FA1" w:rsidRPr="00566FA1" w:rsidRDefault="004A02A1" w:rsidP="00D40832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78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1.3. Ponowne zatrudnienie nauczyciela akademickiego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_Toc66431378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5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4984F9E2" w14:textId="47E6B188" w:rsidR="00566FA1" w:rsidRPr="00566FA1" w:rsidRDefault="004A02A1" w:rsidP="00D40832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79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1.4. Zatrudnianie pracowników niebędących nauczycielami akademickimi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_Toc66431379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5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0D731E42" w14:textId="387F2D25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80" w:history="1">
            <w:r w:rsidR="00566FA1" w:rsidRPr="00566FA1">
              <w:rPr>
                <w:rStyle w:val="Hipercze"/>
                <w:sz w:val="22"/>
                <w:szCs w:val="22"/>
              </w:rPr>
              <w:t>1.4.1. Ogłoszenie rekrutacji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_Toc66431380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5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145C8493" w14:textId="7FA69883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81" w:history="1">
            <w:r w:rsidR="00566FA1" w:rsidRPr="00566FA1">
              <w:rPr>
                <w:rStyle w:val="Hipercze"/>
                <w:sz w:val="22"/>
                <w:szCs w:val="22"/>
              </w:rPr>
              <w:t>1.4.2. Przeprowadzenie rekrutacji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_Toc66431381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6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3C56B087" w14:textId="6F66D89B" w:rsidR="00566FA1" w:rsidRPr="00566FA1" w:rsidRDefault="004A02A1" w:rsidP="00D40832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82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1.5. Dobre praktyki w zatrudnianiu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_Toc66431382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6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64BEFC90" w14:textId="63E3CB82" w:rsidR="00566FA1" w:rsidRPr="00566FA1" w:rsidRDefault="004A02A1" w:rsidP="00D40832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83" w:history="1">
            <w:r w:rsidR="00566FA1" w:rsidRPr="00566FA1">
              <w:rPr>
                <w:rStyle w:val="Hipercze"/>
              </w:rPr>
              <w:t>Dział 2. Wspieranie w rozwoju zawodowym</w:t>
            </w:r>
            <w:r w:rsidR="00566FA1" w:rsidRPr="00206331">
              <w:rPr>
                <w:b w:val="0"/>
                <w:webHidden/>
              </w:rPr>
              <w:tab/>
            </w:r>
            <w:r w:rsidR="00566FA1" w:rsidRPr="00087545">
              <w:rPr>
                <w:b w:val="0"/>
                <w:bCs/>
                <w:webHidden/>
              </w:rPr>
              <w:fldChar w:fldCharType="begin"/>
            </w:r>
            <w:r w:rsidR="00566FA1" w:rsidRPr="00087545">
              <w:rPr>
                <w:b w:val="0"/>
                <w:bCs/>
                <w:webHidden/>
              </w:rPr>
              <w:instrText xml:space="preserve"> PAGEREF _Toc66431383 \h </w:instrText>
            </w:r>
            <w:r w:rsidR="00566FA1" w:rsidRPr="00087545">
              <w:rPr>
                <w:b w:val="0"/>
                <w:bCs/>
                <w:webHidden/>
              </w:rPr>
            </w:r>
            <w:r w:rsidR="00566FA1" w:rsidRPr="00087545">
              <w:rPr>
                <w:b w:val="0"/>
                <w:bCs/>
                <w:webHidden/>
              </w:rPr>
              <w:fldChar w:fldCharType="separate"/>
            </w:r>
            <w:r w:rsidR="008F644D">
              <w:rPr>
                <w:b w:val="0"/>
                <w:bCs/>
                <w:webHidden/>
              </w:rPr>
              <w:t>7</w:t>
            </w:r>
            <w:r w:rsidR="00566FA1" w:rsidRPr="00087545">
              <w:rPr>
                <w:b w:val="0"/>
                <w:bCs/>
                <w:webHidden/>
              </w:rPr>
              <w:fldChar w:fldCharType="end"/>
            </w:r>
          </w:hyperlink>
        </w:p>
        <w:p w14:paraId="0DEC1222" w14:textId="527EBDD6" w:rsidR="00566FA1" w:rsidRPr="00566FA1" w:rsidRDefault="004A02A1" w:rsidP="00D40832">
          <w:pPr>
            <w:pStyle w:val="Spistreci2"/>
            <w:spacing w:before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84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2.1. Podnoszenie kwalifikacji zawodowych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_Toc66431384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7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34805275" w14:textId="032A9E39" w:rsidR="00566FA1" w:rsidRPr="00566FA1" w:rsidRDefault="004A02A1" w:rsidP="00D40832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85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2.2. Program Erasmus+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_Toc66431385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7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39E81D82" w14:textId="6CE21ED8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86" w:history="1">
            <w:r w:rsidR="00566FA1" w:rsidRPr="00566FA1">
              <w:rPr>
                <w:rStyle w:val="Hipercze"/>
                <w:sz w:val="22"/>
                <w:szCs w:val="22"/>
              </w:rPr>
              <w:t>2.2.1. Wyjazdy dydaktyczne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_Toc66431386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7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18C0D740" w14:textId="023A7ACB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87" w:history="1">
            <w:r w:rsidR="00566FA1" w:rsidRPr="00566FA1">
              <w:rPr>
                <w:rStyle w:val="Hipercze"/>
                <w:sz w:val="22"/>
                <w:szCs w:val="22"/>
              </w:rPr>
              <w:t>2.2.2. Wyjazdy szkoleniowe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_Toc66431387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8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390E6F9E" w14:textId="516C93DB" w:rsidR="00566FA1" w:rsidRPr="00566FA1" w:rsidRDefault="004A02A1" w:rsidP="00D40832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88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2.3. Dodatek za ponadprzeciętną aktywność naukową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_Toc66431388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9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79DCD12B" w14:textId="07851197" w:rsidR="00566FA1" w:rsidRPr="00566FA1" w:rsidRDefault="004A02A1" w:rsidP="00D40832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89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2.4. Jednostki organizacyjne ZUT wspierające pracowników w ich rozwoju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_Toc66431389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9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2751577B" w14:textId="09F2A59B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90" w:history="1">
            <w:r w:rsidR="00566FA1" w:rsidRPr="00566FA1">
              <w:rPr>
                <w:rStyle w:val="Hipercze"/>
                <w:sz w:val="22"/>
                <w:szCs w:val="22"/>
              </w:rPr>
              <w:t>2.4.1. Regionalne Centrum Innowacji i Transferu Technologii – RCIiTT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_Toc66431390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9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7695E312" w14:textId="5AFF9396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91" w:history="1">
            <w:r w:rsidR="00566FA1" w:rsidRPr="00566FA1">
              <w:rPr>
                <w:rStyle w:val="Hipercze"/>
                <w:sz w:val="22"/>
                <w:szCs w:val="22"/>
              </w:rPr>
              <w:t>2.4.2. Działy Projektów Naukowych i Projektów Strategicznych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_Toc66431391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9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6F351E20" w14:textId="06F42265" w:rsidR="00566FA1" w:rsidRPr="00566FA1" w:rsidRDefault="004A02A1" w:rsidP="00D40832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92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2.5. Mentoring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_Toc66431392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10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63D1A3BD" w14:textId="293516D8" w:rsidR="00566FA1" w:rsidRPr="00566FA1" w:rsidRDefault="004A02A1" w:rsidP="00D40832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93" w:history="1">
            <w:r w:rsidR="00566FA1" w:rsidRPr="00566FA1">
              <w:rPr>
                <w:rStyle w:val="Hipercze"/>
              </w:rPr>
              <w:t>Dział 3. Ocena okresowa pracowników</w:t>
            </w:r>
            <w:r w:rsidR="00566FA1" w:rsidRPr="00D40832">
              <w:rPr>
                <w:b w:val="0"/>
                <w:webHidden/>
              </w:rPr>
              <w:tab/>
            </w:r>
            <w:r w:rsidR="00566FA1" w:rsidRPr="00D40832">
              <w:rPr>
                <w:b w:val="0"/>
                <w:webHidden/>
              </w:rPr>
              <w:fldChar w:fldCharType="begin"/>
            </w:r>
            <w:r w:rsidR="00566FA1" w:rsidRPr="00D40832">
              <w:rPr>
                <w:b w:val="0"/>
                <w:webHidden/>
              </w:rPr>
              <w:instrText xml:space="preserve"> PAGEREF _Toc66431393 \h </w:instrText>
            </w:r>
            <w:r w:rsidR="00566FA1" w:rsidRPr="00D40832">
              <w:rPr>
                <w:b w:val="0"/>
                <w:webHidden/>
              </w:rPr>
            </w:r>
            <w:r w:rsidR="00566FA1" w:rsidRPr="00D40832">
              <w:rPr>
                <w:b w:val="0"/>
                <w:webHidden/>
              </w:rPr>
              <w:fldChar w:fldCharType="separate"/>
            </w:r>
            <w:r w:rsidR="008F644D">
              <w:rPr>
                <w:b w:val="0"/>
                <w:webHidden/>
              </w:rPr>
              <w:t>11</w:t>
            </w:r>
            <w:r w:rsidR="00566FA1" w:rsidRPr="00D40832">
              <w:rPr>
                <w:b w:val="0"/>
                <w:webHidden/>
              </w:rPr>
              <w:fldChar w:fldCharType="end"/>
            </w:r>
          </w:hyperlink>
        </w:p>
        <w:p w14:paraId="7C837C13" w14:textId="230DB10D" w:rsidR="00566FA1" w:rsidRPr="00566FA1" w:rsidRDefault="004A02A1" w:rsidP="00D40832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94" w:history="1">
            <w:r w:rsidR="00566FA1" w:rsidRPr="00566FA1">
              <w:rPr>
                <w:rStyle w:val="Hipercze"/>
              </w:rPr>
              <w:t>Dział 4. Awanse pracowników</w:t>
            </w:r>
            <w:r w:rsidR="00566FA1" w:rsidRPr="00D40832">
              <w:rPr>
                <w:b w:val="0"/>
                <w:webHidden/>
              </w:rPr>
              <w:tab/>
            </w:r>
            <w:r w:rsidR="00566FA1" w:rsidRPr="00D40832">
              <w:rPr>
                <w:b w:val="0"/>
                <w:webHidden/>
              </w:rPr>
              <w:fldChar w:fldCharType="begin"/>
            </w:r>
            <w:r w:rsidR="00566FA1" w:rsidRPr="00D40832">
              <w:rPr>
                <w:b w:val="0"/>
                <w:webHidden/>
              </w:rPr>
              <w:instrText xml:space="preserve"> PAGEREF _Toc66431394 \h </w:instrText>
            </w:r>
            <w:r w:rsidR="00566FA1" w:rsidRPr="00D40832">
              <w:rPr>
                <w:b w:val="0"/>
                <w:webHidden/>
              </w:rPr>
            </w:r>
            <w:r w:rsidR="00566FA1" w:rsidRPr="00D40832">
              <w:rPr>
                <w:b w:val="0"/>
                <w:webHidden/>
              </w:rPr>
              <w:fldChar w:fldCharType="separate"/>
            </w:r>
            <w:r w:rsidR="008F644D">
              <w:rPr>
                <w:b w:val="0"/>
                <w:webHidden/>
              </w:rPr>
              <w:t>11</w:t>
            </w:r>
            <w:r w:rsidR="00566FA1" w:rsidRPr="00D40832">
              <w:rPr>
                <w:b w:val="0"/>
                <w:webHidden/>
              </w:rPr>
              <w:fldChar w:fldCharType="end"/>
            </w:r>
          </w:hyperlink>
        </w:p>
        <w:p w14:paraId="5B3BCCC0" w14:textId="4EFBA03B" w:rsidR="00566FA1" w:rsidRPr="00566FA1" w:rsidRDefault="004A02A1" w:rsidP="00D40832">
          <w:pPr>
            <w:pStyle w:val="Spistreci2"/>
            <w:spacing w:before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95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4.1. Awans nauczyciela akademickiego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_Toc66431395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11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202AD8AA" w14:textId="52820104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96" w:history="1">
            <w:r w:rsidR="00566FA1" w:rsidRPr="00566FA1">
              <w:rPr>
                <w:rStyle w:val="Hipercze"/>
                <w:sz w:val="22"/>
                <w:szCs w:val="22"/>
              </w:rPr>
              <w:t>4.1.1. Awans na stanowisko profesora i profesora uczelni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_Toc66431396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11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26C6AF5A" w14:textId="70441A42" w:rsidR="00566FA1" w:rsidRPr="00566FA1" w:rsidRDefault="004A02A1" w:rsidP="00D40832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6431397" w:history="1">
            <w:r w:rsidR="00566FA1" w:rsidRPr="00566FA1">
              <w:rPr>
                <w:rStyle w:val="Hipercze"/>
                <w:sz w:val="22"/>
                <w:szCs w:val="22"/>
              </w:rPr>
              <w:t>4.1.2. Awans na pozostałe stanowiska</w:t>
            </w:r>
            <w:r w:rsidR="00566FA1" w:rsidRPr="00566FA1">
              <w:rPr>
                <w:webHidden/>
              </w:rPr>
              <w:tab/>
            </w:r>
            <w:r w:rsidR="00566FA1" w:rsidRPr="00566FA1">
              <w:rPr>
                <w:webHidden/>
              </w:rPr>
              <w:fldChar w:fldCharType="begin"/>
            </w:r>
            <w:r w:rsidR="00566FA1" w:rsidRPr="00566FA1">
              <w:rPr>
                <w:webHidden/>
              </w:rPr>
              <w:instrText xml:space="preserve"> PAGEREF _Toc66431397 \h </w:instrText>
            </w:r>
            <w:r w:rsidR="00566FA1" w:rsidRPr="00566FA1">
              <w:rPr>
                <w:webHidden/>
              </w:rPr>
            </w:r>
            <w:r w:rsidR="00566FA1" w:rsidRPr="00566FA1">
              <w:rPr>
                <w:webHidden/>
              </w:rPr>
              <w:fldChar w:fldCharType="separate"/>
            </w:r>
            <w:r w:rsidR="008F644D">
              <w:rPr>
                <w:webHidden/>
              </w:rPr>
              <w:t>11</w:t>
            </w:r>
            <w:r w:rsidR="00566FA1" w:rsidRPr="00566FA1">
              <w:rPr>
                <w:webHidden/>
              </w:rPr>
              <w:fldChar w:fldCharType="end"/>
            </w:r>
          </w:hyperlink>
        </w:p>
        <w:p w14:paraId="2F41CF03" w14:textId="2B992C71" w:rsidR="00566FA1" w:rsidRDefault="004A02A1" w:rsidP="00D40832">
          <w:pPr>
            <w:pStyle w:val="Spistreci2"/>
            <w:spacing w:before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431398" w:history="1">
            <w:r w:rsidR="00566FA1" w:rsidRPr="00566FA1">
              <w:rPr>
                <w:rStyle w:val="Hipercze"/>
                <w:noProof/>
                <w:sz w:val="22"/>
                <w:szCs w:val="22"/>
              </w:rPr>
              <w:t>4.2. Awans pracownika niebędącego nauczycielem akademickim</w:t>
            </w:r>
            <w:r w:rsidR="00566FA1" w:rsidRPr="00566FA1">
              <w:rPr>
                <w:noProof/>
                <w:webHidden/>
              </w:rPr>
              <w:tab/>
            </w:r>
            <w:r w:rsidR="00566FA1" w:rsidRPr="00566FA1">
              <w:rPr>
                <w:noProof/>
                <w:webHidden/>
              </w:rPr>
              <w:fldChar w:fldCharType="begin"/>
            </w:r>
            <w:r w:rsidR="00566FA1" w:rsidRPr="00566FA1">
              <w:rPr>
                <w:noProof/>
                <w:webHidden/>
              </w:rPr>
              <w:instrText xml:space="preserve"> PAGEREF _Toc66431398 \h </w:instrText>
            </w:r>
            <w:r w:rsidR="00566FA1" w:rsidRPr="00566FA1">
              <w:rPr>
                <w:noProof/>
                <w:webHidden/>
              </w:rPr>
            </w:r>
            <w:r w:rsidR="00566FA1" w:rsidRPr="00566FA1">
              <w:rPr>
                <w:noProof/>
                <w:webHidden/>
              </w:rPr>
              <w:fldChar w:fldCharType="separate"/>
            </w:r>
            <w:r w:rsidR="008F644D">
              <w:rPr>
                <w:noProof/>
                <w:webHidden/>
              </w:rPr>
              <w:t>11</w:t>
            </w:r>
            <w:r w:rsidR="00566FA1" w:rsidRPr="00566FA1">
              <w:rPr>
                <w:noProof/>
                <w:webHidden/>
              </w:rPr>
              <w:fldChar w:fldCharType="end"/>
            </w:r>
          </w:hyperlink>
        </w:p>
        <w:p w14:paraId="38DE5B89" w14:textId="77777777" w:rsidR="00A17D1F" w:rsidRPr="00354206" w:rsidRDefault="00B3192C" w:rsidP="00354206">
          <w:pPr>
            <w:keepLines/>
            <w:spacing w:line="240" w:lineRule="auto"/>
            <w:rPr>
              <w:b/>
              <w:sz w:val="16"/>
              <w:szCs w:val="16"/>
            </w:rPr>
          </w:pPr>
          <w:r w:rsidRPr="00CB6E1C">
            <w:rPr>
              <w:b/>
              <w:sz w:val="21"/>
              <w:szCs w:val="21"/>
            </w:rPr>
            <w:fldChar w:fldCharType="end"/>
          </w:r>
        </w:p>
      </w:sdtContent>
    </w:sdt>
    <w:p w14:paraId="5CCA9DCA" w14:textId="78498E20" w:rsidR="00BA3509" w:rsidRPr="00D64C1C" w:rsidRDefault="00D64C1C" w:rsidP="00F2698D">
      <w:pPr>
        <w:pStyle w:val="Nagwek1"/>
        <w:spacing w:before="0"/>
      </w:pPr>
      <w:r>
        <w:br w:type="page"/>
      </w:r>
      <w:bookmarkStart w:id="1" w:name="_Toc66431367"/>
      <w:r w:rsidR="00BA3509" w:rsidRPr="00BA3509">
        <w:lastRenderedPageBreak/>
        <w:t>Cel</w:t>
      </w:r>
      <w:bookmarkEnd w:id="1"/>
    </w:p>
    <w:p w14:paraId="5C7D0D67" w14:textId="6E023151" w:rsidR="00BA3509" w:rsidRDefault="00BA3509" w:rsidP="00D237C5">
      <w:r w:rsidRPr="008770B1">
        <w:rPr>
          <w:spacing w:val="-4"/>
        </w:rPr>
        <w:t xml:space="preserve">Celem </w:t>
      </w:r>
      <w:r w:rsidR="005A174A" w:rsidRPr="008770B1">
        <w:rPr>
          <w:spacing w:val="-4"/>
        </w:rPr>
        <w:t xml:space="preserve">Procedury </w:t>
      </w:r>
      <w:r w:rsidR="00AF1008" w:rsidRPr="008770B1">
        <w:rPr>
          <w:spacing w:val="-4"/>
        </w:rPr>
        <w:t xml:space="preserve">zatrudniania </w:t>
      </w:r>
      <w:r w:rsidR="008770B1" w:rsidRPr="008770B1">
        <w:rPr>
          <w:spacing w:val="-4"/>
        </w:rPr>
        <w:t>oraz</w:t>
      </w:r>
      <w:r w:rsidR="00AF1008" w:rsidRPr="008770B1">
        <w:rPr>
          <w:spacing w:val="-4"/>
        </w:rPr>
        <w:t xml:space="preserve"> przebiegu rozwoju zawodowego pracowników ZUT </w:t>
      </w:r>
      <w:r w:rsidRPr="008770B1">
        <w:rPr>
          <w:spacing w:val="-4"/>
        </w:rPr>
        <w:t>jest poprawa</w:t>
      </w:r>
      <w:r w:rsidRPr="00E60748">
        <w:t xml:space="preserve"> warunków zatrudniania </w:t>
      </w:r>
      <w:r w:rsidRPr="00FB6EF5">
        <w:t>poprzez uczciwą</w:t>
      </w:r>
      <w:r>
        <w:t>, otwartą, efektywną</w:t>
      </w:r>
      <w:r w:rsidRPr="00FB6EF5">
        <w:t xml:space="preserve"> i przejrzystą procedurę rekrutacyjną </w:t>
      </w:r>
      <w:r>
        <w:t>w</w:t>
      </w:r>
      <w:r w:rsidR="00F2698D">
        <w:t> </w:t>
      </w:r>
      <w:r>
        <w:t xml:space="preserve">Uczelni, szczególnie </w:t>
      </w:r>
      <w:r w:rsidRPr="00FB6EF5">
        <w:t xml:space="preserve">kandydatów na stanowiska </w:t>
      </w:r>
      <w:r>
        <w:t xml:space="preserve">pracowników </w:t>
      </w:r>
      <w:r w:rsidRPr="00FB6EF5">
        <w:t>naukow</w:t>
      </w:r>
      <w:r>
        <w:t>ych</w:t>
      </w:r>
      <w:r w:rsidR="00AC5F33">
        <w:t>.</w:t>
      </w:r>
    </w:p>
    <w:p w14:paraId="76DBC768" w14:textId="3ABB5B9B" w:rsidR="00BA3509" w:rsidRPr="00BA3509" w:rsidRDefault="00BA3509" w:rsidP="002530A6">
      <w:pPr>
        <w:pStyle w:val="Nagwek1"/>
        <w:rPr>
          <w:b w:val="0"/>
          <w:bCs/>
        </w:rPr>
      </w:pPr>
      <w:bookmarkStart w:id="2" w:name="_Toc66431368"/>
      <w:r w:rsidRPr="002530A6">
        <w:t>Przedmiot</w:t>
      </w:r>
      <w:bookmarkEnd w:id="2"/>
    </w:p>
    <w:p w14:paraId="5F1FB880" w14:textId="5479327E" w:rsidR="002D6C16" w:rsidRDefault="002D6C16" w:rsidP="00D237C5">
      <w:r w:rsidRPr="00FB6EF5">
        <w:t>Niniejsz</w:t>
      </w:r>
      <w:r w:rsidR="00726CCD">
        <w:t>a</w:t>
      </w:r>
      <w:r>
        <w:t xml:space="preserve"> </w:t>
      </w:r>
      <w:r w:rsidR="004A6460">
        <w:t xml:space="preserve">Procedura </w:t>
      </w:r>
      <w:r w:rsidRPr="00FB6EF5">
        <w:t>określa zasady rekrutacji, zatrudniania,</w:t>
      </w:r>
      <w:r w:rsidR="00B9351E" w:rsidRPr="00AF1008">
        <w:t xml:space="preserve"> </w:t>
      </w:r>
      <w:r w:rsidRPr="00FB6EF5">
        <w:t xml:space="preserve">awansów </w:t>
      </w:r>
      <w:r w:rsidR="00726CCD">
        <w:t>oraz przebiegu</w:t>
      </w:r>
      <w:r w:rsidR="00B9351E">
        <w:t xml:space="preserve"> </w:t>
      </w:r>
      <w:r w:rsidRPr="00FB6EF5">
        <w:t>rozwoju zawodowego nauczycieli akademickich i pracowników niebędących nauczycielami akademickimi na</w:t>
      </w:r>
      <w:r w:rsidR="00A35DB7">
        <w:t> </w:t>
      </w:r>
      <w:r w:rsidRPr="00FB6EF5">
        <w:t>różnych etapach ich kariery oraz opisuje dobre praktyki w zatrudnianiu w Zachodniopomorskim Uniwersytecie Technologicznym w Szczecinie.</w:t>
      </w:r>
    </w:p>
    <w:p w14:paraId="3AA4CB80" w14:textId="2060A578" w:rsidR="002D6C16" w:rsidRDefault="00AF1008" w:rsidP="00D237C5">
      <w:r>
        <w:t xml:space="preserve">Procedura </w:t>
      </w:r>
      <w:r w:rsidR="002D6C16">
        <w:t xml:space="preserve">jest </w:t>
      </w:r>
      <w:r w:rsidR="002D6C16" w:rsidRPr="00E60748">
        <w:t>zgodn</w:t>
      </w:r>
      <w:r>
        <w:t>a</w:t>
      </w:r>
      <w:r w:rsidR="002D6C16" w:rsidRPr="00E60748">
        <w:t xml:space="preserve"> z wytycznymi </w:t>
      </w:r>
      <w:r w:rsidR="002D6C16" w:rsidRPr="00AC5F33">
        <w:t>Europejskiej Karty Naukowca i Kodeksu postępowania przy rekrutacji pracowników naukowych,</w:t>
      </w:r>
      <w:r w:rsidR="00977F95">
        <w:t xml:space="preserve"> </w:t>
      </w:r>
      <w:r w:rsidR="002D6C16" w:rsidRPr="00AC5F33">
        <w:t>d</w:t>
      </w:r>
      <w:r w:rsidR="002D6C16" w:rsidRPr="00E60748">
        <w:t>o których realizacji zobowiązał się</w:t>
      </w:r>
      <w:r w:rsidR="00977F95">
        <w:t xml:space="preserve"> </w:t>
      </w:r>
      <w:r w:rsidR="002D6C16" w:rsidRPr="00E60748">
        <w:t>Zachodniopomorski Uniwersytet Tec</w:t>
      </w:r>
      <w:r w:rsidR="002D6C16">
        <w:t>hnologiczny w Szczecinie w 2015</w:t>
      </w:r>
      <w:r w:rsidR="00977F95">
        <w:t xml:space="preserve"> </w:t>
      </w:r>
      <w:r w:rsidR="002D6C16" w:rsidRPr="00E60748">
        <w:t>r.</w:t>
      </w:r>
    </w:p>
    <w:p w14:paraId="14698108" w14:textId="58B832E4" w:rsidR="00CA6AC7" w:rsidRPr="00F2698D" w:rsidRDefault="00CA6AC7" w:rsidP="00103386">
      <w:pPr>
        <w:rPr>
          <w:spacing w:val="-4"/>
        </w:rPr>
      </w:pPr>
      <w:r w:rsidRPr="00F2698D">
        <w:rPr>
          <w:spacing w:val="-4"/>
        </w:rPr>
        <w:t xml:space="preserve">Zgodnie z ustawą </w:t>
      </w:r>
      <w:r w:rsidRPr="00F2698D">
        <w:rPr>
          <w:iCs/>
          <w:spacing w:val="-4"/>
        </w:rPr>
        <w:t>Prawo o szkolnictwie wyższym i nauce</w:t>
      </w:r>
      <w:r w:rsidRPr="00F2698D">
        <w:rPr>
          <w:spacing w:val="-4"/>
        </w:rPr>
        <w:t xml:space="preserve"> Uczelnia publikuje informację o konkursie na stanowisko nauczyciela akademickiego w europejskim portalu dla mobilnych pracowników badawczych – europejskiej sieci </w:t>
      </w:r>
      <w:r w:rsidRPr="0078236C">
        <w:rPr>
          <w:spacing w:val="-4"/>
          <w:lang w:val="en-GB"/>
        </w:rPr>
        <w:t>Euraxess.</w:t>
      </w:r>
      <w:r w:rsidRPr="00F2698D">
        <w:rPr>
          <w:spacing w:val="-4"/>
        </w:rPr>
        <w:t xml:space="preserve"> Głównym celem polskiej bazy jest udzielanie szeregu porad w zakresie rozwoju kariery zawodowej polskich i zagranicznych naukowców. Baza dostarcza cennych informacji o</w:t>
      </w:r>
      <w:r w:rsidR="005E02F0" w:rsidRPr="00F2698D">
        <w:rPr>
          <w:spacing w:val="-4"/>
        </w:rPr>
        <w:t> </w:t>
      </w:r>
      <w:r w:rsidRPr="00F2698D">
        <w:rPr>
          <w:spacing w:val="-4"/>
        </w:rPr>
        <w:t>grantach i stypendiach z krajów członkowskich polskim pracownikom badawczym, którzy planują wzbogacić swoją ścieżkę kariery o wymiar międzynarodowy. Ponadto zapewnia wsparcie zagranicznym badaczom przebywającym w Polsce w sprawach dotyczących ich pobytu oraz zawodowego rozwoju.</w:t>
      </w:r>
    </w:p>
    <w:p w14:paraId="5FA9E956" w14:textId="2D854034" w:rsidR="00CA6AC7" w:rsidRPr="008225F9" w:rsidRDefault="00CA6AC7" w:rsidP="00CA6AC7">
      <w:r w:rsidRPr="00F2698D">
        <w:rPr>
          <w:spacing w:val="-4"/>
        </w:rPr>
        <w:t xml:space="preserve">Posiadając konto w bazie Euraxess, Uczelnia, oprócz umieszczania ofert pracy, ofert goszczących oraz finansowania badań, ma dodatkową możliwość poszukiwania współpracy z międzynarodowymi jednostkami naukowymi (tzw. partnering). Ponadto ma dostęp do szerokiej gamy profili pracowników </w:t>
      </w:r>
      <w:r w:rsidRPr="008225F9">
        <w:t>badawczych pochodzących z krajów partnerskich, którzy mogą wzbogacić instytucje o nabyte</w:t>
      </w:r>
      <w:r w:rsidRPr="00F2698D">
        <w:rPr>
          <w:spacing w:val="-4"/>
        </w:rPr>
        <w:t xml:space="preserve"> </w:t>
      </w:r>
      <w:r w:rsidRPr="008225F9">
        <w:t>umiejętności zawodowe oraz cenne doświadczenie</w:t>
      </w:r>
      <w:r w:rsidR="005E02F0" w:rsidRPr="008225F9">
        <w:t>.</w:t>
      </w:r>
    </w:p>
    <w:p w14:paraId="7E74160D" w14:textId="77777777" w:rsidR="004D1333" w:rsidRPr="00DC5B92" w:rsidRDefault="004D1333" w:rsidP="00D64C1C">
      <w:pPr>
        <w:pStyle w:val="Nagwek1"/>
      </w:pPr>
      <w:bookmarkStart w:id="3" w:name="_Toc66431369"/>
      <w:r w:rsidRPr="00DC5B92">
        <w:t>Dział 1. Rekrutacja i zatrudnianie</w:t>
      </w:r>
      <w:bookmarkEnd w:id="3"/>
      <w:r w:rsidRPr="00DC5B92">
        <w:t xml:space="preserve"> </w:t>
      </w:r>
    </w:p>
    <w:p w14:paraId="467EFE30" w14:textId="3F9C2EE7" w:rsidR="004D1333" w:rsidRDefault="004D1333" w:rsidP="002530A6">
      <w:pPr>
        <w:pStyle w:val="nagwek20"/>
      </w:pPr>
      <w:bookmarkStart w:id="4" w:name="_Toc66431370"/>
      <w:r w:rsidRPr="00DC5B92">
        <w:t>1.1. Zatrudnianie nauczycieli akademickich w pełnym wymiarze czasu pracy</w:t>
      </w:r>
      <w:bookmarkEnd w:id="4"/>
      <w:r w:rsidRPr="00DC5B92">
        <w:t xml:space="preserve"> </w:t>
      </w:r>
    </w:p>
    <w:p w14:paraId="65C03925" w14:textId="14678752" w:rsidR="00D237C5" w:rsidRPr="00A35E16" w:rsidRDefault="00D237C5" w:rsidP="00E34E6D">
      <w:pPr>
        <w:pStyle w:val="nagwek3"/>
      </w:pPr>
      <w:bookmarkStart w:id="5" w:name="_Toc66431371"/>
      <w:r w:rsidRPr="00A35E16">
        <w:t>1.1.1</w:t>
      </w:r>
      <w:r w:rsidR="00C52E51" w:rsidRPr="00A35E16">
        <w:t>.</w:t>
      </w:r>
      <w:r w:rsidRPr="00A35E16">
        <w:t xml:space="preserve"> </w:t>
      </w:r>
      <w:r w:rsidR="00B605C3" w:rsidRPr="00A35E16">
        <w:t>O</w:t>
      </w:r>
      <w:r w:rsidRPr="00A35E16">
        <w:t>głoszeni</w:t>
      </w:r>
      <w:r w:rsidR="00B605C3" w:rsidRPr="00A35E16">
        <w:t>e</w:t>
      </w:r>
      <w:r w:rsidRPr="00A35E16">
        <w:t xml:space="preserve"> konkursu</w:t>
      </w:r>
      <w:bookmarkEnd w:id="5"/>
    </w:p>
    <w:p w14:paraId="10EA4EE2" w14:textId="37285758" w:rsidR="004D1333" w:rsidRPr="00DC5B92" w:rsidRDefault="00CA6AC7" w:rsidP="0046434E">
      <w:pPr>
        <w:pStyle w:val="Akapitzlist"/>
        <w:numPr>
          <w:ilvl w:val="0"/>
          <w:numId w:val="4"/>
        </w:numPr>
        <w:spacing w:after="60"/>
        <w:ind w:left="357" w:hanging="357"/>
      </w:pPr>
      <w:r>
        <w:t>Dziekan/k</w:t>
      </w:r>
      <w:r w:rsidRPr="00DC5B92">
        <w:t xml:space="preserve">ierownik jednostki międzywydziałowej, po zaopiniowaniu przez </w:t>
      </w:r>
      <w:r>
        <w:t>r</w:t>
      </w:r>
      <w:r w:rsidRPr="00DC5B92">
        <w:t xml:space="preserve">adę </w:t>
      </w:r>
      <w:r>
        <w:t>d</w:t>
      </w:r>
      <w:r w:rsidRPr="00DC5B92">
        <w:t xml:space="preserve">yscypliny </w:t>
      </w:r>
      <w:r>
        <w:t>n</w:t>
      </w:r>
      <w:r w:rsidRPr="00CA6AC7">
        <w:rPr>
          <w:spacing w:val="-4"/>
        </w:rPr>
        <w:t>aukowej w przypadku zatrudniania nauczycieli akademickich w grupach badawczo-dydaktycznej</w:t>
      </w:r>
      <w:r w:rsidRPr="00DC5B92">
        <w:t xml:space="preserve"> i</w:t>
      </w:r>
      <w:r>
        <w:t> </w:t>
      </w:r>
      <w:r w:rsidRPr="00DC5B92">
        <w:t>badawczej, składa w Dziale Kadr wniosek do Rektora o utworzenie stanowiska i</w:t>
      </w:r>
      <w:r>
        <w:t> </w:t>
      </w:r>
      <w:r w:rsidRPr="00DC5B92">
        <w:t>odpowiednio ogłoszenie konkursu wraz ze wskazanym zakresem zadań</w:t>
      </w:r>
      <w:r>
        <w:t>,</w:t>
      </w:r>
      <w:r w:rsidRPr="00DC5B92">
        <w:t xml:space="preserve"> jakie będą należały do przyszłego pracownika i wymaganiami kwalifikacyjnym</w:t>
      </w:r>
      <w:r w:rsidR="004D1333" w:rsidRPr="00DC5B92">
        <w:t xml:space="preserve">. </w:t>
      </w:r>
    </w:p>
    <w:p w14:paraId="07E0E69B" w14:textId="77777777" w:rsidR="004D1333" w:rsidRPr="00DC5B92" w:rsidRDefault="004D1333" w:rsidP="0046434E">
      <w:pPr>
        <w:pStyle w:val="Akapitzlist"/>
        <w:numPr>
          <w:ilvl w:val="0"/>
          <w:numId w:val="4"/>
        </w:numPr>
        <w:spacing w:after="60"/>
        <w:ind w:left="357" w:hanging="357"/>
      </w:pPr>
      <w:r w:rsidRPr="00E338FE">
        <w:t xml:space="preserve">W </w:t>
      </w:r>
      <w:r w:rsidRPr="00FB6EF5">
        <w:t>wyniku oceny określającej obciążenie dydaktyczne danej jednostki przez Dział Kształcenia, Rektor</w:t>
      </w:r>
      <w:r w:rsidRPr="00DC5B92">
        <w:t xml:space="preserve"> podejmuje decyzję o ogłoszeniu konkursu. </w:t>
      </w:r>
    </w:p>
    <w:p w14:paraId="59FB8C1E" w14:textId="09D8900B" w:rsidR="004D1333" w:rsidRPr="009E2906" w:rsidRDefault="004D1333" w:rsidP="0046434E">
      <w:pPr>
        <w:pStyle w:val="Akapitzlist"/>
        <w:numPr>
          <w:ilvl w:val="0"/>
          <w:numId w:val="4"/>
        </w:numPr>
        <w:spacing w:after="60"/>
        <w:ind w:left="357" w:hanging="357"/>
      </w:pPr>
      <w:r w:rsidRPr="00DC5B92">
        <w:t>W przypadku pozytywnej decyzji Rektora</w:t>
      </w:r>
      <w:r>
        <w:t>,</w:t>
      </w:r>
      <w:r w:rsidRPr="00DC5B92">
        <w:t xml:space="preserve"> jednostka organizacyjna udostępnia informację </w:t>
      </w:r>
      <w:r w:rsidRPr="00AF1008">
        <w:t>o</w:t>
      </w:r>
      <w:r w:rsidR="00BA3F37" w:rsidRPr="00AF1008">
        <w:t> </w:t>
      </w:r>
      <w:r w:rsidRPr="00AF1008">
        <w:t>konkursie w B</w:t>
      </w:r>
      <w:r w:rsidR="00053B57">
        <w:t xml:space="preserve">iuletynie </w:t>
      </w:r>
      <w:r w:rsidRPr="00AF1008">
        <w:t>I</w:t>
      </w:r>
      <w:r w:rsidR="00053B57">
        <w:t xml:space="preserve">nformacji </w:t>
      </w:r>
      <w:r w:rsidRPr="00AF1008">
        <w:t>P</w:t>
      </w:r>
      <w:r w:rsidR="00053B57">
        <w:t>ublicznej</w:t>
      </w:r>
      <w:r w:rsidRPr="00AF1008">
        <w:t xml:space="preserve"> na stron</w:t>
      </w:r>
      <w:r w:rsidR="009E2906" w:rsidRPr="00AF1008">
        <w:t>ach</w:t>
      </w:r>
      <w:r w:rsidRPr="00AF1008">
        <w:t xml:space="preserve"> ZUT i M</w:t>
      </w:r>
      <w:r w:rsidR="00053B57">
        <w:t xml:space="preserve">inisterstwa </w:t>
      </w:r>
      <w:r w:rsidR="00BA3F37" w:rsidRPr="00AF1008">
        <w:t>E</w:t>
      </w:r>
      <w:r w:rsidR="00053B57">
        <w:t xml:space="preserve">dukacji </w:t>
      </w:r>
      <w:r w:rsidRPr="00AF1008">
        <w:t>i</w:t>
      </w:r>
      <w:r w:rsidR="00053B57">
        <w:t xml:space="preserve"> </w:t>
      </w:r>
      <w:r w:rsidRPr="00AF1008">
        <w:t>N</w:t>
      </w:r>
      <w:r w:rsidR="00053B57">
        <w:t>auki</w:t>
      </w:r>
      <w:r w:rsidRPr="00AF1008">
        <w:t>, a także ogłoszenie w języku angielskim na stronach</w:t>
      </w:r>
      <w:r w:rsidRPr="00DC5B92">
        <w:t xml:space="preserve"> internetowych Komisji</w:t>
      </w:r>
      <w:r>
        <w:t xml:space="preserve"> Europejskiej przeznaczonych do </w:t>
      </w:r>
      <w:r w:rsidRPr="00DC5B92">
        <w:t xml:space="preserve">publikacji ofert pracy dla naukowców </w:t>
      </w:r>
      <w:r w:rsidRPr="009E2906">
        <w:t>(euraxess.ec.europa.eu).</w:t>
      </w:r>
    </w:p>
    <w:p w14:paraId="223B4380" w14:textId="1B2CEC63" w:rsidR="004D1333" w:rsidRPr="00DC5B92" w:rsidRDefault="004D1333" w:rsidP="0046434E">
      <w:pPr>
        <w:pStyle w:val="Akapitzlist"/>
        <w:numPr>
          <w:ilvl w:val="0"/>
          <w:numId w:val="4"/>
        </w:numPr>
        <w:spacing w:after="60"/>
        <w:ind w:left="357" w:hanging="357"/>
      </w:pPr>
      <w:r w:rsidRPr="00DC5B92">
        <w:t xml:space="preserve">Ogłoszenie o konkursie zawiera opis wymaganej wiedzy i kwalifikacji, ale bez specjalistycznych i szczegółowych określeń (kryteriów), opis warunków pracy, w tym wskazanie dyscypliny, którą przyszły </w:t>
      </w:r>
      <w:r>
        <w:t xml:space="preserve">pracownik będzie reprezentował oraz </w:t>
      </w:r>
      <w:r w:rsidRPr="00DC5B92">
        <w:t xml:space="preserve">perspektywy rozwoju zawodowego. </w:t>
      </w:r>
    </w:p>
    <w:p w14:paraId="56994EDB" w14:textId="6DE871F4" w:rsidR="004D1333" w:rsidRPr="00622653" w:rsidRDefault="004D1333" w:rsidP="0046434E">
      <w:pPr>
        <w:pStyle w:val="Akapitzlist"/>
        <w:numPr>
          <w:ilvl w:val="0"/>
          <w:numId w:val="4"/>
        </w:numPr>
        <w:spacing w:after="60"/>
        <w:ind w:left="357" w:hanging="357"/>
        <w:rPr>
          <w:spacing w:val="-4"/>
        </w:rPr>
      </w:pPr>
      <w:r w:rsidRPr="00622653">
        <w:rPr>
          <w:spacing w:val="-4"/>
        </w:rPr>
        <w:t>Termin składania aplikacji wynosi co najmniej 30 dni od dnia umieszczenia informacji o konkursie.</w:t>
      </w:r>
    </w:p>
    <w:p w14:paraId="5272FABA" w14:textId="2093BB53" w:rsidR="004D1333" w:rsidRPr="00DC5B92" w:rsidRDefault="004D1333" w:rsidP="00E95BFF">
      <w:pPr>
        <w:pStyle w:val="Akapitzlist"/>
        <w:numPr>
          <w:ilvl w:val="0"/>
          <w:numId w:val="4"/>
        </w:numPr>
        <w:spacing w:after="160"/>
        <w:ind w:left="360"/>
        <w:contextualSpacing/>
      </w:pPr>
      <w:r w:rsidRPr="00CA6AC7">
        <w:t xml:space="preserve">Oferty </w:t>
      </w:r>
      <w:r w:rsidR="00965019" w:rsidRPr="00CA6AC7">
        <w:t xml:space="preserve">kandydatów </w:t>
      </w:r>
      <w:r w:rsidRPr="00CA6AC7">
        <w:t xml:space="preserve">kierowane są na adres mailowy: kadry-rekrutacja@zut.edu.pl lub w formie </w:t>
      </w:r>
      <w:r w:rsidRPr="00DC5B92">
        <w:t xml:space="preserve">papierowej na adres Działu Kadr ZUT. </w:t>
      </w:r>
    </w:p>
    <w:p w14:paraId="3BDC6723" w14:textId="37055ED9" w:rsidR="00D237C5" w:rsidRPr="0046434E" w:rsidRDefault="00902CAD" w:rsidP="00902CAD">
      <w:pPr>
        <w:pStyle w:val="nagwek3"/>
      </w:pPr>
      <w:bookmarkStart w:id="6" w:name="_Toc66431372"/>
      <w:r w:rsidRPr="0046434E">
        <w:lastRenderedPageBreak/>
        <w:t xml:space="preserve">1.1.2. </w:t>
      </w:r>
      <w:r w:rsidR="00D237C5" w:rsidRPr="0046434E">
        <w:t>Powołanie komisji konkursowej</w:t>
      </w:r>
      <w:bookmarkEnd w:id="6"/>
    </w:p>
    <w:p w14:paraId="2009A33D" w14:textId="096891C8" w:rsidR="004D1333" w:rsidRPr="00DC5B92" w:rsidRDefault="004D1333" w:rsidP="006964F0">
      <w:pPr>
        <w:pStyle w:val="Akapitzlist"/>
        <w:numPr>
          <w:ilvl w:val="0"/>
          <w:numId w:val="7"/>
        </w:numPr>
        <w:spacing w:after="60"/>
        <w:ind w:left="340" w:hanging="340"/>
      </w:pPr>
      <w:r>
        <w:t>Dziekan/</w:t>
      </w:r>
      <w:r w:rsidR="007E2640">
        <w:t>k</w:t>
      </w:r>
      <w:r w:rsidRPr="00DC5B92">
        <w:t>ierownik jed</w:t>
      </w:r>
      <w:r>
        <w:t xml:space="preserve">nostki </w:t>
      </w:r>
      <w:r w:rsidRPr="001723CE">
        <w:t>międzywydziałowej</w:t>
      </w:r>
      <w:r w:rsidRPr="00DC5B92">
        <w:t xml:space="preserve"> przedstawia propozycję osób, które mają zostać </w:t>
      </w:r>
      <w:r w:rsidRPr="006964F0">
        <w:rPr>
          <w:spacing w:val="-4"/>
        </w:rPr>
        <w:t>powołane przez Rektora w skład komisji konkursowej, kierując się przy doborze zasadą równowagi</w:t>
      </w:r>
      <w:r w:rsidRPr="00DC5B92">
        <w:t xml:space="preserve"> płci.</w:t>
      </w:r>
    </w:p>
    <w:p w14:paraId="2CC823B1" w14:textId="77777777" w:rsidR="004D1333" w:rsidRDefault="004D1333" w:rsidP="006964F0">
      <w:pPr>
        <w:pStyle w:val="Akapitzlist"/>
        <w:numPr>
          <w:ilvl w:val="0"/>
          <w:numId w:val="7"/>
        </w:numPr>
        <w:spacing w:after="160"/>
        <w:ind w:left="340" w:hanging="340"/>
        <w:contextualSpacing/>
      </w:pPr>
      <w:r w:rsidRPr="00DC5B92">
        <w:t xml:space="preserve">W skład komisji konkursowej wchodzą: </w:t>
      </w:r>
    </w:p>
    <w:p w14:paraId="150E108D" w14:textId="7EF9B84E" w:rsidR="004D1333" w:rsidRPr="00DC5B92" w:rsidRDefault="004D1333" w:rsidP="00103386">
      <w:pPr>
        <w:pStyle w:val="Akapitzlist"/>
        <w:numPr>
          <w:ilvl w:val="0"/>
          <w:numId w:val="6"/>
        </w:numPr>
        <w:ind w:left="680" w:hanging="340"/>
      </w:pPr>
      <w:r w:rsidRPr="0046434E">
        <w:rPr>
          <w:spacing w:val="-4"/>
        </w:rPr>
        <w:t>przewodniczący rady dyscypliny naukowej, którą ma reprezentować kandydat</w:t>
      </w:r>
      <w:r w:rsidR="00D02BCA">
        <w:rPr>
          <w:spacing w:val="-4"/>
        </w:rPr>
        <w:t>;</w:t>
      </w:r>
      <w:r w:rsidRPr="0046434E">
        <w:rPr>
          <w:spacing w:val="-4"/>
        </w:rPr>
        <w:t xml:space="preserve"> </w:t>
      </w:r>
      <w:r w:rsidRPr="00CA6AC7">
        <w:rPr>
          <w:spacing w:val="-4"/>
        </w:rPr>
        <w:t>jeśli zatrudniany</w:t>
      </w:r>
      <w:r w:rsidRPr="00CA6AC7">
        <w:t xml:space="preserve"> ma być w grupie pracowników badawczo-dydaktycznych lub badawczych</w:t>
      </w:r>
      <w:r w:rsidRPr="00DC5B92">
        <w:t xml:space="preserve">; </w:t>
      </w:r>
    </w:p>
    <w:p w14:paraId="579D9D21" w14:textId="36EE4751" w:rsidR="004D1333" w:rsidRPr="00CA6AC7" w:rsidRDefault="004D1333" w:rsidP="00103386">
      <w:pPr>
        <w:pStyle w:val="Akapitzlist"/>
        <w:numPr>
          <w:ilvl w:val="0"/>
          <w:numId w:val="6"/>
        </w:numPr>
        <w:ind w:left="680" w:hanging="340"/>
      </w:pPr>
      <w:r w:rsidRPr="00DC5B92">
        <w:t>wskazany przez dziekana wydziału, na którym ma być zatrudniony kandydat, a</w:t>
      </w:r>
      <w:r w:rsidR="007E2640">
        <w:t> </w:t>
      </w:r>
      <w:r w:rsidRPr="00DC5B92">
        <w:t>w</w:t>
      </w:r>
      <w:r w:rsidR="007E2640">
        <w:t> </w:t>
      </w:r>
      <w:r w:rsidRPr="00DC5B92">
        <w:t xml:space="preserve">przypadku </w:t>
      </w:r>
      <w:r w:rsidRPr="00CA6AC7">
        <w:t>jednostek</w:t>
      </w:r>
      <w:r w:rsidR="00F95421" w:rsidRPr="00CA6AC7">
        <w:t xml:space="preserve"> międzywydziałowych</w:t>
      </w:r>
      <w:r w:rsidRPr="00CA6AC7">
        <w:t xml:space="preserve"> – wyznaczony przez Rektora lub upoważnioną przez niego </w:t>
      </w:r>
      <w:r w:rsidRPr="0046434E">
        <w:rPr>
          <w:spacing w:val="-4"/>
        </w:rPr>
        <w:t>osobę –</w:t>
      </w:r>
      <w:r w:rsidR="00CA6AC7">
        <w:rPr>
          <w:spacing w:val="-4"/>
        </w:rPr>
        <w:t xml:space="preserve"> </w:t>
      </w:r>
      <w:r w:rsidRPr="0046434E">
        <w:rPr>
          <w:spacing w:val="-4"/>
        </w:rPr>
        <w:t>pracownik badawczo-dydaktyczny lub pracownik badawczy z wydziału/jednostki</w:t>
      </w:r>
      <w:r w:rsidRPr="00DC5B92">
        <w:t xml:space="preserve"> </w:t>
      </w:r>
      <w:r w:rsidR="00F95421" w:rsidRPr="00CA6AC7">
        <w:t>międzywydziałowej</w:t>
      </w:r>
      <w:r w:rsidRPr="00CA6AC7">
        <w:t xml:space="preserve">, reprezentujący dyscyplinę, którą ma reprezentować również kandydat; </w:t>
      </w:r>
    </w:p>
    <w:p w14:paraId="54A1E5C3" w14:textId="2BA73C7B" w:rsidR="004D1333" w:rsidRPr="00DC5B92" w:rsidRDefault="004D1333" w:rsidP="00103386">
      <w:pPr>
        <w:pStyle w:val="Akapitzlist"/>
        <w:numPr>
          <w:ilvl w:val="0"/>
          <w:numId w:val="6"/>
        </w:numPr>
        <w:ind w:left="680" w:hanging="340"/>
      </w:pPr>
      <w:r w:rsidRPr="00DC5B92">
        <w:t>wskazany przez dziekana wydziału, na którym ma być zatrudniony kandydat, a</w:t>
      </w:r>
      <w:r w:rsidR="007E2640">
        <w:t> </w:t>
      </w:r>
      <w:r w:rsidRPr="00DC5B92">
        <w:t>w</w:t>
      </w:r>
      <w:r w:rsidR="007E2640">
        <w:t> </w:t>
      </w:r>
      <w:r w:rsidRPr="00DC5B92">
        <w:t xml:space="preserve">przypadku </w:t>
      </w:r>
      <w:r w:rsidRPr="00CA6AC7">
        <w:rPr>
          <w:spacing w:val="-2"/>
        </w:rPr>
        <w:t>jednostek</w:t>
      </w:r>
      <w:r w:rsidR="00F95421" w:rsidRPr="00CA6AC7">
        <w:rPr>
          <w:spacing w:val="-2"/>
        </w:rPr>
        <w:t xml:space="preserve"> międzywydziałowych</w:t>
      </w:r>
      <w:r w:rsidR="0018683F" w:rsidRPr="00CA6AC7">
        <w:rPr>
          <w:spacing w:val="-2"/>
        </w:rPr>
        <w:t xml:space="preserve"> </w:t>
      </w:r>
      <w:r w:rsidRPr="00CA6AC7">
        <w:rPr>
          <w:spacing w:val="-2"/>
        </w:rPr>
        <w:t>– wskazany przez Rektora lub wyznaczoną przez niego osobę</w:t>
      </w:r>
      <w:r w:rsidRPr="00CA6AC7">
        <w:t xml:space="preserve"> </w:t>
      </w:r>
      <w:r w:rsidRPr="0046434E">
        <w:rPr>
          <w:spacing w:val="-2"/>
        </w:rPr>
        <w:t>–</w:t>
      </w:r>
      <w:r w:rsidR="00CA6AC7">
        <w:rPr>
          <w:spacing w:val="-2"/>
        </w:rPr>
        <w:t xml:space="preserve"> </w:t>
      </w:r>
      <w:r w:rsidRPr="0046434E">
        <w:rPr>
          <w:spacing w:val="-2"/>
        </w:rPr>
        <w:t>pracownik badawczo-dydaktyczny lub pracownik badawczy, reprezentujący dyscyplinę</w:t>
      </w:r>
      <w:r w:rsidRPr="00DC5B92">
        <w:t xml:space="preserve"> pokrewną do tej, którą ma reprezentować zatrudniany nauczyciel akademicki; </w:t>
      </w:r>
    </w:p>
    <w:p w14:paraId="61F83D75" w14:textId="05A26564" w:rsidR="004D1333" w:rsidRPr="00DC5B92" w:rsidRDefault="004D1333" w:rsidP="00103386">
      <w:pPr>
        <w:pStyle w:val="Akapitzlist"/>
        <w:numPr>
          <w:ilvl w:val="0"/>
          <w:numId w:val="6"/>
        </w:numPr>
        <w:ind w:left="680" w:hanging="340"/>
      </w:pPr>
      <w:r w:rsidRPr="00DC5B92">
        <w:t>kierownik jednostki organizacyjnej, do której organizacyjnie przynależy stanowisko, którego dotyczy konkurs</w:t>
      </w:r>
      <w:r w:rsidR="00D02BCA">
        <w:t>,</w:t>
      </w:r>
      <w:r w:rsidRPr="00DC5B92">
        <w:t xml:space="preserve"> lub wyznaczony przez niego przedstawiciel; </w:t>
      </w:r>
    </w:p>
    <w:p w14:paraId="0B5AA69F" w14:textId="5FAA0DE0" w:rsidR="004D1333" w:rsidRPr="009C7443" w:rsidRDefault="004D1333" w:rsidP="00103386">
      <w:pPr>
        <w:pStyle w:val="Akapitzlist"/>
        <w:numPr>
          <w:ilvl w:val="0"/>
          <w:numId w:val="6"/>
        </w:numPr>
        <w:ind w:left="680" w:hanging="340"/>
      </w:pPr>
      <w:r w:rsidRPr="00CA6AC7">
        <w:t>inna osoba wnioskowana przez dziekana, a w przypadku jednostek</w:t>
      </w:r>
      <w:r w:rsidR="008C623B" w:rsidRPr="00CA6AC7">
        <w:t xml:space="preserve"> międzywydziałowych</w:t>
      </w:r>
      <w:r w:rsidRPr="00CA6AC7">
        <w:t xml:space="preserve"> </w:t>
      </w:r>
      <w:r w:rsidRPr="009C7443">
        <w:t xml:space="preserve">przez Rektora lub wyznaczoną przez niego osobę; </w:t>
      </w:r>
    </w:p>
    <w:p w14:paraId="2FB6D191" w14:textId="77777777" w:rsidR="004D1333" w:rsidRDefault="004D1333" w:rsidP="00103386">
      <w:pPr>
        <w:pStyle w:val="Akapitzlist"/>
        <w:numPr>
          <w:ilvl w:val="0"/>
          <w:numId w:val="6"/>
        </w:numPr>
        <w:ind w:left="680" w:hanging="340"/>
      </w:pPr>
      <w:r w:rsidRPr="00DC5B92">
        <w:t xml:space="preserve">pracownik Działu Kadr. </w:t>
      </w:r>
    </w:p>
    <w:p w14:paraId="13927D2C" w14:textId="77777777" w:rsidR="004D1333" w:rsidRPr="00DC5B92" w:rsidRDefault="004D1333" w:rsidP="006964F0">
      <w:pPr>
        <w:pStyle w:val="Akapitzlist"/>
        <w:numPr>
          <w:ilvl w:val="0"/>
          <w:numId w:val="7"/>
        </w:numPr>
        <w:spacing w:before="60" w:after="60"/>
        <w:ind w:left="340" w:hanging="340"/>
      </w:pPr>
      <w:r w:rsidRPr="00DC5B92">
        <w:t xml:space="preserve">Rektor wskazuje przewodniczącego komisji konkursowej. </w:t>
      </w:r>
    </w:p>
    <w:p w14:paraId="75D8BE1F" w14:textId="51B61492" w:rsidR="004D1333" w:rsidRPr="00DC5B92" w:rsidRDefault="004D1333" w:rsidP="006964F0">
      <w:pPr>
        <w:pStyle w:val="Akapitzlist"/>
        <w:numPr>
          <w:ilvl w:val="0"/>
          <w:numId w:val="7"/>
        </w:numPr>
        <w:spacing w:after="60"/>
        <w:ind w:left="340" w:hanging="340"/>
      </w:pPr>
      <w:r>
        <w:t>Członkowie komisji</w:t>
      </w:r>
      <w:r w:rsidRPr="00DC5B92">
        <w:t xml:space="preserve"> konkursowej</w:t>
      </w:r>
      <w:r w:rsidR="0033390A">
        <w:t xml:space="preserve"> –</w:t>
      </w:r>
      <w:r w:rsidRPr="00DC5B92">
        <w:t xml:space="preserve"> przed przystąpieniem do oceny zgłoszonych kandydatur</w:t>
      </w:r>
      <w:r w:rsidR="0033390A">
        <w:t xml:space="preserve"> –</w:t>
      </w:r>
      <w:r w:rsidRPr="00DC5B92">
        <w:t xml:space="preserve"> zostają właściwie przeszkoleni, w tym również o konieczności poinformowania o możliwym konflikcie interesów z kandydatami. Jeżeli zachodzi konflikt interesów, członek komisji może zostać wykluczony w postępowaniu konkursowym. </w:t>
      </w:r>
    </w:p>
    <w:p w14:paraId="1702B3DC" w14:textId="73754AAC" w:rsidR="004D1333" w:rsidRPr="00103386" w:rsidRDefault="004D1333" w:rsidP="006964F0">
      <w:pPr>
        <w:pStyle w:val="Akapitzlist"/>
        <w:numPr>
          <w:ilvl w:val="0"/>
          <w:numId w:val="7"/>
        </w:numPr>
        <w:spacing w:after="60"/>
        <w:ind w:left="340" w:hanging="340"/>
        <w:rPr>
          <w:spacing w:val="-7"/>
        </w:rPr>
      </w:pPr>
      <w:r w:rsidRPr="00103386">
        <w:rPr>
          <w:spacing w:val="-7"/>
        </w:rPr>
        <w:t>Komisja konkursowa może zdecydować o przeprowadzeniu rozm</w:t>
      </w:r>
      <w:r w:rsidR="00C22793" w:rsidRPr="00103386">
        <w:rPr>
          <w:spacing w:val="-7"/>
        </w:rPr>
        <w:t>owy</w:t>
      </w:r>
      <w:r w:rsidRPr="00103386">
        <w:rPr>
          <w:spacing w:val="-7"/>
        </w:rPr>
        <w:t xml:space="preserve"> kwalifikacyjn</w:t>
      </w:r>
      <w:r w:rsidR="00C22793" w:rsidRPr="00103386">
        <w:rPr>
          <w:spacing w:val="-7"/>
        </w:rPr>
        <w:t>ej</w:t>
      </w:r>
      <w:r w:rsidRPr="00103386">
        <w:rPr>
          <w:spacing w:val="-7"/>
        </w:rPr>
        <w:t xml:space="preserve"> z</w:t>
      </w:r>
      <w:r w:rsidR="00C7401E" w:rsidRPr="00103386">
        <w:rPr>
          <w:spacing w:val="-7"/>
        </w:rPr>
        <w:t> </w:t>
      </w:r>
      <w:r w:rsidRPr="00103386">
        <w:rPr>
          <w:spacing w:val="-7"/>
        </w:rPr>
        <w:t>kandydat</w:t>
      </w:r>
      <w:r w:rsidR="00C22793" w:rsidRPr="00103386">
        <w:rPr>
          <w:spacing w:val="-7"/>
        </w:rPr>
        <w:t>em</w:t>
      </w:r>
      <w:r w:rsidRPr="00103386">
        <w:rPr>
          <w:spacing w:val="-7"/>
        </w:rPr>
        <w:t>.</w:t>
      </w:r>
    </w:p>
    <w:p w14:paraId="1C7FACEA" w14:textId="2B69E845" w:rsidR="00D237C5" w:rsidRPr="0046434E" w:rsidRDefault="00902CAD" w:rsidP="00902CAD">
      <w:pPr>
        <w:pStyle w:val="nagwek3"/>
      </w:pPr>
      <w:bookmarkStart w:id="7" w:name="_Toc66431373"/>
      <w:r w:rsidRPr="0046434E">
        <w:t xml:space="preserve">1.1.3. </w:t>
      </w:r>
      <w:r w:rsidR="00DA40E0" w:rsidRPr="0046434E">
        <w:t>Przeprowadzenie konkursu</w:t>
      </w:r>
      <w:bookmarkEnd w:id="7"/>
    </w:p>
    <w:p w14:paraId="08E5ADF5" w14:textId="77777777" w:rsidR="00924189" w:rsidRDefault="004D1333" w:rsidP="006964F0">
      <w:pPr>
        <w:pStyle w:val="Akapitzlist"/>
        <w:numPr>
          <w:ilvl w:val="0"/>
          <w:numId w:val="8"/>
        </w:numPr>
        <w:spacing w:after="60"/>
        <w:ind w:left="340" w:hanging="340"/>
      </w:pPr>
      <w:r w:rsidRPr="00DC5B92">
        <w:t>Dokonując oceny zgłoszonych kandydatur</w:t>
      </w:r>
      <w:r w:rsidR="00C7401E">
        <w:t>,</w:t>
      </w:r>
      <w:r w:rsidRPr="00DC5B92">
        <w:t xml:space="preserve"> należy zwrócić uwagę na spełnianie wymogów określonych w ustawie i Statucie</w:t>
      </w:r>
      <w:r w:rsidR="00C22793">
        <w:t xml:space="preserve"> ZUT</w:t>
      </w:r>
      <w:r w:rsidRPr="00DC5B92">
        <w:t xml:space="preserve">. </w:t>
      </w:r>
    </w:p>
    <w:p w14:paraId="5DBAB77E" w14:textId="5757C437" w:rsidR="004D1333" w:rsidRPr="00DC5B92" w:rsidRDefault="004D1333" w:rsidP="006964F0">
      <w:pPr>
        <w:pStyle w:val="Akapitzlist"/>
        <w:numPr>
          <w:ilvl w:val="0"/>
          <w:numId w:val="8"/>
        </w:numPr>
        <w:spacing w:after="60"/>
        <w:ind w:left="340" w:hanging="340"/>
      </w:pPr>
      <w:r w:rsidRPr="00DC5B92">
        <w:t>Oceniając osiągnięcia</w:t>
      </w:r>
      <w:r w:rsidR="00C7401E">
        <w:t>,</w:t>
      </w:r>
      <w:r w:rsidRPr="00DC5B92">
        <w:t xml:space="preserve"> bierze się pod </w:t>
      </w:r>
      <w:r>
        <w:t>uwagę cały staż pracy kandydata i</w:t>
      </w:r>
      <w:r w:rsidRPr="00DC5B92">
        <w:t xml:space="preserve"> przebieg trwającego </w:t>
      </w:r>
      <w:r w:rsidRPr="00924189">
        <w:rPr>
          <w:spacing w:val="-4"/>
        </w:rPr>
        <w:t>przez całe życie rozwoju zawodowego. Uwzględnia się nie tylko wskaźniki ilościowe i jakościowe</w:t>
      </w:r>
      <w:r w:rsidRPr="00DC5B92">
        <w:t xml:space="preserve"> publikacji, ale również inne wybitne osiągnięcia w</w:t>
      </w:r>
      <w:r w:rsidR="00C7401E">
        <w:t> </w:t>
      </w:r>
      <w:r w:rsidRPr="00DC5B92">
        <w:t>trakcie dotychczasowej kariery zawodowej, np.</w:t>
      </w:r>
      <w:r>
        <w:t> </w:t>
      </w:r>
      <w:r w:rsidRPr="00DC5B92">
        <w:t xml:space="preserve">doświadczenie w kształceniu, opiekę naukową, </w:t>
      </w:r>
      <w:r w:rsidRPr="003D702C">
        <w:rPr>
          <w:spacing w:val="-2"/>
        </w:rPr>
        <w:t>pracę zespołową, transfer wiedzy, zarządzanie badaniami naukowymi oraz działaniami w</w:t>
      </w:r>
      <w:r w:rsidR="00C22793" w:rsidRPr="003D702C">
        <w:rPr>
          <w:spacing w:val="-2"/>
        </w:rPr>
        <w:t> </w:t>
      </w:r>
      <w:r w:rsidRPr="003D702C">
        <w:rPr>
          <w:spacing w:val="-2"/>
        </w:rPr>
        <w:t>zakresie</w:t>
      </w:r>
      <w:r w:rsidRPr="00DC5B92">
        <w:t xml:space="preserve"> innowacji i szerzenia świadomości naukowej w społeczeństwie, doświadczenie w</w:t>
      </w:r>
      <w:r w:rsidR="00C22793">
        <w:t> </w:t>
      </w:r>
      <w:r w:rsidRPr="00DC5B92">
        <w:t>sektorze przemysłu, wkład w patenty, opracowania lub wynalazki. Mobilność kandydata (w</w:t>
      </w:r>
      <w:r w:rsidR="00C22793">
        <w:t> </w:t>
      </w:r>
      <w:r w:rsidRPr="00DC5B92">
        <w:t>tym praca w</w:t>
      </w:r>
      <w:r w:rsidR="0046434E">
        <w:t> </w:t>
      </w:r>
      <w:r w:rsidRPr="00DC5B92">
        <w:t xml:space="preserve">innych regionach kraju lub za granicą) może być również uznana za cenny wkład w rozwój zawodowy. </w:t>
      </w:r>
    </w:p>
    <w:p w14:paraId="5F1E3BEE" w14:textId="6CDA8725" w:rsidR="004D1333" w:rsidRPr="00DC5B92" w:rsidRDefault="004D1333" w:rsidP="006964F0">
      <w:pPr>
        <w:pStyle w:val="Akapitzlist"/>
        <w:numPr>
          <w:ilvl w:val="0"/>
          <w:numId w:val="8"/>
        </w:numPr>
        <w:spacing w:after="60"/>
        <w:ind w:left="340" w:hanging="340"/>
      </w:pPr>
      <w:r w:rsidRPr="00DC5B92">
        <w:t>Po przeprowadzeniu konkursu sporządzony zostaje protokół, w którym przedstawia się słabe i</w:t>
      </w:r>
      <w:r w:rsidR="0046434E">
        <w:t> </w:t>
      </w:r>
      <w:r w:rsidRPr="00DC5B92">
        <w:t>mocne strony kandydatów.</w:t>
      </w:r>
    </w:p>
    <w:p w14:paraId="25EE0D87" w14:textId="53F0FA29" w:rsidR="004D1333" w:rsidRPr="00DC5B92" w:rsidRDefault="004D1333" w:rsidP="006964F0">
      <w:pPr>
        <w:pStyle w:val="Akapitzlist"/>
        <w:numPr>
          <w:ilvl w:val="0"/>
          <w:numId w:val="8"/>
        </w:numPr>
        <w:spacing w:after="60"/>
        <w:ind w:left="340" w:hanging="340"/>
      </w:pPr>
      <w:r w:rsidRPr="00DC5B92">
        <w:t>Wynikiem oceny komisji konkursowej jest pozytywna rekomendacja jednego kandydata lub brak rekomendacji pozytywnego rozstrzygnięcia konkursu.</w:t>
      </w:r>
    </w:p>
    <w:p w14:paraId="3889B562" w14:textId="49C815B9" w:rsidR="004D1333" w:rsidRPr="00DC5B92" w:rsidRDefault="004D1333" w:rsidP="006964F0">
      <w:pPr>
        <w:pStyle w:val="Akapitzlist"/>
        <w:numPr>
          <w:ilvl w:val="0"/>
          <w:numId w:val="8"/>
        </w:numPr>
        <w:spacing w:after="60"/>
        <w:ind w:left="340" w:hanging="340"/>
      </w:pPr>
      <w:r>
        <w:t>Dziekan/</w:t>
      </w:r>
      <w:r w:rsidR="002B3CBC">
        <w:t>k</w:t>
      </w:r>
      <w:r w:rsidRPr="00DC5B92">
        <w:t>ierownik jednostki międzywydziałowej składa Rektorowi wniosek o</w:t>
      </w:r>
      <w:r w:rsidR="0046434E">
        <w:t> </w:t>
      </w:r>
      <w:r w:rsidRPr="00DC5B92">
        <w:t xml:space="preserve">zatrudnienie lub zamknięcie konkursu bez rozstrzygnięcia wraz z przedstawionym przez </w:t>
      </w:r>
      <w:r w:rsidR="00A26B97">
        <w:t>p</w:t>
      </w:r>
      <w:r w:rsidRPr="00DC5B92">
        <w:t xml:space="preserve">rzewodniczącego komisji konkursowej stanowiskiem komisji i dokumentacją. </w:t>
      </w:r>
    </w:p>
    <w:p w14:paraId="16003311" w14:textId="77777777" w:rsidR="004D1333" w:rsidRPr="00DC5B92" w:rsidRDefault="004D1333" w:rsidP="006964F0">
      <w:pPr>
        <w:pStyle w:val="Akapitzlist"/>
        <w:numPr>
          <w:ilvl w:val="0"/>
          <w:numId w:val="8"/>
        </w:numPr>
        <w:spacing w:after="60"/>
        <w:ind w:left="340" w:hanging="340"/>
      </w:pPr>
      <w:r w:rsidRPr="00DC5B92">
        <w:lastRenderedPageBreak/>
        <w:t>Rektor podejmuje</w:t>
      </w:r>
      <w:r>
        <w:t xml:space="preserve"> ostateczną</w:t>
      </w:r>
      <w:r w:rsidRPr="00DC5B92">
        <w:t xml:space="preserve"> decyzję o nawiązaniu stosunku pracy, przy czym stanowisko komisji konkursowej nie jest dla niego wiążące. </w:t>
      </w:r>
    </w:p>
    <w:p w14:paraId="20B3CB13" w14:textId="6980BA11" w:rsidR="004D1333" w:rsidRPr="00DC5B92" w:rsidRDefault="004D1333" w:rsidP="006964F0">
      <w:pPr>
        <w:pStyle w:val="Akapitzlist"/>
        <w:numPr>
          <w:ilvl w:val="0"/>
          <w:numId w:val="8"/>
        </w:numPr>
        <w:spacing w:after="60"/>
        <w:ind w:left="340" w:hanging="340"/>
      </w:pPr>
      <w:r w:rsidRPr="00DC5B92">
        <w:t xml:space="preserve">Jednostka organizacyjna udostępnia w BIP informację o wyniku konkursu wraz </w:t>
      </w:r>
      <w:r>
        <w:t>z</w:t>
      </w:r>
      <w:r w:rsidR="00C7401E">
        <w:t> </w:t>
      </w:r>
      <w:r>
        <w:t xml:space="preserve">uzasadnieniem w okresie </w:t>
      </w:r>
      <w:r w:rsidRPr="00DC5B92">
        <w:t xml:space="preserve">30 dni po zakończeniu konkursu. </w:t>
      </w:r>
    </w:p>
    <w:p w14:paraId="2C825EB6" w14:textId="77777777" w:rsidR="004D1333" w:rsidRDefault="004D1333" w:rsidP="006964F0">
      <w:pPr>
        <w:pStyle w:val="Akapitzlist"/>
        <w:numPr>
          <w:ilvl w:val="0"/>
          <w:numId w:val="8"/>
        </w:numPr>
        <w:spacing w:after="60"/>
        <w:ind w:left="340" w:hanging="340"/>
      </w:pPr>
      <w:r w:rsidRPr="00DC5B92">
        <w:t>Kandydaci, którzy nie zost</w:t>
      </w:r>
      <w:r>
        <w:t>ali wybrani na stanowisko, zosta</w:t>
      </w:r>
      <w:r w:rsidRPr="00DC5B92">
        <w:t>ją poinformowani e-mailem o słabych i mocnych stronach swoich aplikacji</w:t>
      </w:r>
      <w:r>
        <w:t>,</w:t>
      </w:r>
      <w:r w:rsidRPr="00DC5B92">
        <w:t xml:space="preserve"> niezwłocznie po zakończeniu procesu wyłonienia osoby do </w:t>
      </w:r>
      <w:r>
        <w:t>zatrudnienia.</w:t>
      </w:r>
    </w:p>
    <w:p w14:paraId="2078388C" w14:textId="3A9F6126" w:rsidR="004D1333" w:rsidRDefault="004D1333" w:rsidP="00923AF5">
      <w:pPr>
        <w:pStyle w:val="nagwek20"/>
        <w:keepNext/>
      </w:pPr>
      <w:bookmarkStart w:id="8" w:name="_Toc66431374"/>
      <w:r w:rsidRPr="0048515F">
        <w:t xml:space="preserve">1.2. Zatrudnianie nauczycieli akademickich w </w:t>
      </w:r>
      <w:r>
        <w:t>niepełnym wymiarze czasu pracy</w:t>
      </w:r>
      <w:bookmarkEnd w:id="8"/>
      <w:r>
        <w:t xml:space="preserve"> </w:t>
      </w:r>
    </w:p>
    <w:p w14:paraId="0F5EC906" w14:textId="1BF62849" w:rsidR="00DA40E0" w:rsidRPr="002B251B" w:rsidRDefault="00DA40E0" w:rsidP="00923AF5">
      <w:pPr>
        <w:pStyle w:val="nagwek3"/>
        <w:keepNext/>
      </w:pPr>
      <w:bookmarkStart w:id="9" w:name="_Toc66431375"/>
      <w:r w:rsidRPr="002B251B">
        <w:t xml:space="preserve">1.2.1. </w:t>
      </w:r>
      <w:r w:rsidR="00953C72" w:rsidRPr="002B251B">
        <w:t>O</w:t>
      </w:r>
      <w:r w:rsidR="00DD30B7" w:rsidRPr="002B251B">
        <w:t>głoszeni</w:t>
      </w:r>
      <w:r w:rsidR="00953C72" w:rsidRPr="002B251B">
        <w:t>e</w:t>
      </w:r>
      <w:r w:rsidR="00DD30B7" w:rsidRPr="002B251B">
        <w:t xml:space="preserve"> </w:t>
      </w:r>
      <w:r w:rsidR="00F531F7">
        <w:t>naboru</w:t>
      </w:r>
      <w:bookmarkEnd w:id="9"/>
    </w:p>
    <w:p w14:paraId="3F1E10D3" w14:textId="324661A6" w:rsidR="004D1333" w:rsidRPr="00F531F7" w:rsidRDefault="003D702C" w:rsidP="0046434E">
      <w:pPr>
        <w:pStyle w:val="Akapitzlist"/>
        <w:numPr>
          <w:ilvl w:val="0"/>
          <w:numId w:val="5"/>
        </w:numPr>
        <w:spacing w:after="60"/>
        <w:ind w:left="340" w:hanging="340"/>
        <w:rPr>
          <w:b/>
        </w:rPr>
      </w:pPr>
      <w:r w:rsidRPr="00CA6AC7">
        <w:t xml:space="preserve">W celu zatrudnienia nauczyciela akademickiego w grupie badawczo-dydaktycznej lub badawczej </w:t>
      </w:r>
      <w:r w:rsidRPr="0048515F">
        <w:t xml:space="preserve">w </w:t>
      </w:r>
      <w:r>
        <w:t>niepełnym wymiarze czasu pracy,</w:t>
      </w:r>
      <w:r w:rsidRPr="0048515F">
        <w:t xml:space="preserve"> </w:t>
      </w:r>
      <w:r w:rsidRPr="003D702C">
        <w:rPr>
          <w:spacing w:val="-4"/>
        </w:rPr>
        <w:t>po zaopiniowaniu przez radę dyscypliny naukowej, d</w:t>
      </w:r>
      <w:r w:rsidR="004D1333" w:rsidRPr="003D702C">
        <w:rPr>
          <w:spacing w:val="-4"/>
        </w:rPr>
        <w:t>ziekan/</w:t>
      </w:r>
      <w:r w:rsidR="00965019">
        <w:rPr>
          <w:spacing w:val="-4"/>
        </w:rPr>
        <w:t xml:space="preserve"> </w:t>
      </w:r>
      <w:r w:rsidR="00C7401E" w:rsidRPr="009F3A9A">
        <w:rPr>
          <w:spacing w:val="-4"/>
        </w:rPr>
        <w:t>k</w:t>
      </w:r>
      <w:r w:rsidR="004D1333" w:rsidRPr="009F3A9A">
        <w:rPr>
          <w:spacing w:val="-4"/>
        </w:rPr>
        <w:t>ierownik jednostki międzywydziałowej</w:t>
      </w:r>
      <w:r w:rsidR="004D1333" w:rsidRPr="009F3A9A">
        <w:t xml:space="preserve"> składa w Dziale Kadr wniosek do Rektora o utworzenie</w:t>
      </w:r>
      <w:r w:rsidR="004D1333" w:rsidRPr="0048515F">
        <w:t xml:space="preserve"> </w:t>
      </w:r>
      <w:r w:rsidR="004D1333" w:rsidRPr="00F531F7">
        <w:t>stanowiska i ogłoszenie naboru wraz ze wskazanym zakresem zadań</w:t>
      </w:r>
      <w:r w:rsidR="00D6219C" w:rsidRPr="00F531F7">
        <w:t>,</w:t>
      </w:r>
      <w:r w:rsidR="004D1333" w:rsidRPr="00F531F7">
        <w:t xml:space="preserve"> jakie będą należały do</w:t>
      </w:r>
      <w:r w:rsidR="005D3910">
        <w:t> </w:t>
      </w:r>
      <w:r w:rsidR="004D1333" w:rsidRPr="00F531F7">
        <w:t>przyszłego pracownika i wymaganiami kwalifikacyjnymi.</w:t>
      </w:r>
    </w:p>
    <w:p w14:paraId="7F7850CE" w14:textId="0F186495" w:rsidR="004D1333" w:rsidRPr="00F531F7" w:rsidRDefault="004D1333" w:rsidP="0046434E">
      <w:pPr>
        <w:pStyle w:val="Akapitzlist"/>
        <w:numPr>
          <w:ilvl w:val="0"/>
          <w:numId w:val="5"/>
        </w:numPr>
        <w:spacing w:after="60"/>
        <w:ind w:left="340" w:hanging="340"/>
      </w:pPr>
      <w:r w:rsidRPr="00F531F7">
        <w:t xml:space="preserve">Po ocenie określającej obciążenie dydaktyczne danej jednostki przez Dział Kształcenia, Rektor podejmuje decyzję o ogłoszeniu naboru. </w:t>
      </w:r>
    </w:p>
    <w:p w14:paraId="45C0ED17" w14:textId="6EFE2DF3" w:rsidR="004D1333" w:rsidRPr="0048515F" w:rsidRDefault="004D1333" w:rsidP="0046434E">
      <w:pPr>
        <w:pStyle w:val="Akapitzlist"/>
        <w:numPr>
          <w:ilvl w:val="0"/>
          <w:numId w:val="5"/>
        </w:numPr>
        <w:spacing w:after="60"/>
        <w:ind w:left="340" w:hanging="340"/>
      </w:pPr>
      <w:r w:rsidRPr="0048515F">
        <w:t xml:space="preserve">W przypadku pozytywnej decyzji Rektora, jednostka organizacyjna udostępnia informację </w:t>
      </w:r>
      <w:r w:rsidRPr="00F531F7">
        <w:t>o</w:t>
      </w:r>
      <w:r w:rsidR="00C7401E" w:rsidRPr="00F531F7">
        <w:t> </w:t>
      </w:r>
      <w:r w:rsidRPr="00F531F7">
        <w:t>naborze</w:t>
      </w:r>
      <w:r w:rsidR="002C1411">
        <w:t xml:space="preserve"> </w:t>
      </w:r>
      <w:r w:rsidR="002C1411" w:rsidRPr="006C4ED9">
        <w:t xml:space="preserve">lub konkursie w europejskim portalu dla mobilnych pracowników badawczych, </w:t>
      </w:r>
      <w:r w:rsidR="002C1411" w:rsidRPr="0048515F">
        <w:t>w</w:t>
      </w:r>
      <w:r w:rsidR="00BA7A97">
        <w:t> </w:t>
      </w:r>
      <w:r w:rsidR="002C1411" w:rsidRPr="0048515F">
        <w:t>B</w:t>
      </w:r>
      <w:r w:rsidR="002C1411">
        <w:t>iuletynie Informacji Publicznej oraz</w:t>
      </w:r>
      <w:r w:rsidRPr="0048515F">
        <w:t xml:space="preserve"> na stronie ZUT. Informacja o naborze może być również </w:t>
      </w:r>
      <w:r w:rsidRPr="00256ADB">
        <w:rPr>
          <w:spacing w:val="-5"/>
        </w:rPr>
        <w:t>udostępniona w języku angielskim na stronach internetowych Komisji Europejskiej przeznaczonych</w:t>
      </w:r>
      <w:r w:rsidRPr="0048515F">
        <w:t xml:space="preserve"> do publikacji ofert pracy dla naukowców (euraxess.ec.europa.eu). </w:t>
      </w:r>
    </w:p>
    <w:p w14:paraId="155467BF" w14:textId="5B6B0457" w:rsidR="004D1333" w:rsidRPr="0048515F" w:rsidRDefault="004D1333" w:rsidP="0046434E">
      <w:pPr>
        <w:pStyle w:val="Akapitzlist"/>
        <w:numPr>
          <w:ilvl w:val="0"/>
          <w:numId w:val="5"/>
        </w:numPr>
        <w:spacing w:after="60"/>
        <w:ind w:left="340" w:hanging="340"/>
      </w:pPr>
      <w:r w:rsidRPr="0048515F">
        <w:t>Ogłoszenie o</w:t>
      </w:r>
      <w:r w:rsidR="00C45EFE">
        <w:t xml:space="preserve"> </w:t>
      </w:r>
      <w:r w:rsidRPr="00CA6AC7">
        <w:t>naborze</w:t>
      </w:r>
      <w:r w:rsidRPr="0048515F">
        <w:t xml:space="preserve"> zawiera opis wymaganej wiedzy i kwalifikacji, ale bez specjalistycznych i</w:t>
      </w:r>
      <w:r w:rsidR="005D3910">
        <w:t> </w:t>
      </w:r>
      <w:r w:rsidRPr="0048515F">
        <w:t xml:space="preserve">szczegółowych określeń (kryteriów), opis warunków pracy, w tym wskazanie dyscypliny, którą przyszły </w:t>
      </w:r>
      <w:r>
        <w:t xml:space="preserve">pracownik będzie reprezentował oraz </w:t>
      </w:r>
      <w:r w:rsidRPr="0048515F">
        <w:t>perspektywy rozwoju zawodowego</w:t>
      </w:r>
      <w:r>
        <w:t>.</w:t>
      </w:r>
      <w:r w:rsidRPr="0048515F">
        <w:t xml:space="preserve"> </w:t>
      </w:r>
    </w:p>
    <w:p w14:paraId="621CBC70" w14:textId="2C617603" w:rsidR="004D1333" w:rsidRPr="00D6219C" w:rsidRDefault="004D1333" w:rsidP="0046434E">
      <w:pPr>
        <w:pStyle w:val="Akapitzlist"/>
        <w:numPr>
          <w:ilvl w:val="0"/>
          <w:numId w:val="5"/>
        </w:numPr>
        <w:spacing w:after="60"/>
        <w:ind w:left="340" w:hanging="340"/>
      </w:pPr>
      <w:r w:rsidRPr="00CA6AC7">
        <w:t xml:space="preserve">Oferty </w:t>
      </w:r>
      <w:r w:rsidR="00965019" w:rsidRPr="00CA6AC7">
        <w:t xml:space="preserve">kandydatów </w:t>
      </w:r>
      <w:r w:rsidRPr="00CA6AC7">
        <w:t xml:space="preserve">kierowane są na adres mailowy: kadry-rekrutacja@zut.edu.pl lub w formie </w:t>
      </w:r>
      <w:r w:rsidRPr="00D6219C">
        <w:t xml:space="preserve">papierowej na adres Działu Kadr ZUT. </w:t>
      </w:r>
    </w:p>
    <w:p w14:paraId="7B163837" w14:textId="6134E40A" w:rsidR="00DD30B7" w:rsidRPr="002B251B" w:rsidRDefault="00902CAD" w:rsidP="00902CAD">
      <w:pPr>
        <w:pStyle w:val="nagwek3"/>
        <w:rPr>
          <w:bCs/>
        </w:rPr>
      </w:pPr>
      <w:bookmarkStart w:id="10" w:name="_Toc66431376"/>
      <w:r w:rsidRPr="002B251B">
        <w:rPr>
          <w:bCs/>
        </w:rPr>
        <w:t xml:space="preserve">1.2.2. </w:t>
      </w:r>
      <w:r w:rsidR="00DD30B7" w:rsidRPr="002B251B">
        <w:rPr>
          <w:bCs/>
        </w:rPr>
        <w:t>Powołanie</w:t>
      </w:r>
      <w:r w:rsidR="00DD30B7" w:rsidRPr="002B251B">
        <w:t xml:space="preserve"> komisji </w:t>
      </w:r>
      <w:r w:rsidR="00EF0BE1">
        <w:t>naboru</w:t>
      </w:r>
      <w:bookmarkEnd w:id="10"/>
    </w:p>
    <w:p w14:paraId="0375FB6B" w14:textId="619F8914" w:rsidR="004D1333" w:rsidRPr="0048515F" w:rsidRDefault="004D1333" w:rsidP="006964F0">
      <w:pPr>
        <w:pStyle w:val="Akapitzlist"/>
        <w:numPr>
          <w:ilvl w:val="0"/>
          <w:numId w:val="9"/>
        </w:numPr>
        <w:spacing w:after="60"/>
        <w:ind w:left="340" w:hanging="340"/>
      </w:pPr>
      <w:r>
        <w:t>Dziekan/</w:t>
      </w:r>
      <w:r w:rsidR="00BA3509">
        <w:t>k</w:t>
      </w:r>
      <w:r>
        <w:t>ierownik jednostki międzywydziałowej</w:t>
      </w:r>
      <w:r w:rsidRPr="0048515F">
        <w:t xml:space="preserve"> przedstawia propozycję osób, które mają zostać powołane przez Rektora w skład komisji</w:t>
      </w:r>
      <w:r w:rsidR="00F531F7">
        <w:t xml:space="preserve"> naboru</w:t>
      </w:r>
      <w:r w:rsidRPr="0048515F">
        <w:t xml:space="preserve">, kierując się przy </w:t>
      </w:r>
      <w:r>
        <w:t>doborze zasadą równowagi płci.</w:t>
      </w:r>
    </w:p>
    <w:p w14:paraId="6C95C672" w14:textId="451D302B" w:rsidR="00D6219C" w:rsidRDefault="004D1333" w:rsidP="006964F0">
      <w:pPr>
        <w:pStyle w:val="Akapitzlist"/>
        <w:numPr>
          <w:ilvl w:val="0"/>
          <w:numId w:val="9"/>
        </w:numPr>
        <w:ind w:left="340" w:hanging="340"/>
      </w:pPr>
      <w:r w:rsidRPr="0048515F">
        <w:t>W skład komisji</w:t>
      </w:r>
      <w:r w:rsidR="007A2A45">
        <w:t xml:space="preserve"> </w:t>
      </w:r>
      <w:r w:rsidR="00F531F7">
        <w:t xml:space="preserve">naboru </w:t>
      </w:r>
      <w:r w:rsidRPr="0048515F">
        <w:t>wchodz</w:t>
      </w:r>
      <w:r w:rsidR="00D6219C">
        <w:t>ą:</w:t>
      </w:r>
      <w:r w:rsidRPr="0048515F">
        <w:t xml:space="preserve"> </w:t>
      </w:r>
    </w:p>
    <w:p w14:paraId="79CBA398" w14:textId="49AC0766" w:rsidR="00D6219C" w:rsidRDefault="00BA3509" w:rsidP="00D6219C">
      <w:pPr>
        <w:pStyle w:val="Akapitzlist"/>
        <w:numPr>
          <w:ilvl w:val="0"/>
          <w:numId w:val="37"/>
        </w:numPr>
      </w:pPr>
      <w:r>
        <w:t>d</w:t>
      </w:r>
      <w:r w:rsidR="004D1333" w:rsidRPr="0048515F">
        <w:t>ziekan lub prodziekan wydziału</w:t>
      </w:r>
      <w:r w:rsidR="00D6219C">
        <w:t>;</w:t>
      </w:r>
    </w:p>
    <w:p w14:paraId="581792A3" w14:textId="0BCDC7FA" w:rsidR="00D6219C" w:rsidRDefault="004D1333" w:rsidP="00D6219C">
      <w:pPr>
        <w:pStyle w:val="Akapitzlist"/>
        <w:numPr>
          <w:ilvl w:val="0"/>
          <w:numId w:val="37"/>
        </w:numPr>
      </w:pPr>
      <w:r w:rsidRPr="0048515F">
        <w:t xml:space="preserve">przewodniczący rady dyscypliny </w:t>
      </w:r>
      <w:r w:rsidR="00BA3509">
        <w:t>naukowej</w:t>
      </w:r>
      <w:r w:rsidR="00D02BCA">
        <w:t xml:space="preserve">, </w:t>
      </w:r>
      <w:r w:rsidR="00D02BCA" w:rsidRPr="00EF0BE1">
        <w:rPr>
          <w:spacing w:val="-4"/>
        </w:rPr>
        <w:t>którą ma reprezentować kandydat</w:t>
      </w:r>
      <w:r w:rsidR="00BA3509">
        <w:t xml:space="preserve"> </w:t>
      </w:r>
      <w:r w:rsidRPr="00EF0BE1">
        <w:t xml:space="preserve">(jeżeli </w:t>
      </w:r>
      <w:r w:rsidRPr="00EF0BE1">
        <w:rPr>
          <w:spacing w:val="-6"/>
        </w:rPr>
        <w:t>zatrudnienie dotyczy nauczyciela akademickiego w grupie pracowników badawczo-dydaktycznych</w:t>
      </w:r>
      <w:r w:rsidRPr="00EF0BE1">
        <w:t xml:space="preserve"> lub badawczych)</w:t>
      </w:r>
      <w:r w:rsidRPr="0048515F">
        <w:t xml:space="preserve"> lub wskazany przez niego pracownik reprezentujący dyscyplinę, którą ma reprezentować kandydat</w:t>
      </w:r>
      <w:r w:rsidR="00D6219C">
        <w:t>;</w:t>
      </w:r>
    </w:p>
    <w:p w14:paraId="029CD32A" w14:textId="2FA91BF5" w:rsidR="00D6219C" w:rsidRDefault="004D1333" w:rsidP="00D02BCA">
      <w:pPr>
        <w:pStyle w:val="Akapitzlist"/>
        <w:numPr>
          <w:ilvl w:val="0"/>
          <w:numId w:val="37"/>
        </w:numPr>
      </w:pPr>
      <w:r w:rsidRPr="0048515F">
        <w:t xml:space="preserve">kierownik </w:t>
      </w:r>
      <w:r w:rsidR="00BA3509">
        <w:t>k</w:t>
      </w:r>
      <w:r w:rsidRPr="0048515F">
        <w:t>atedry, w której ma być zatrudniony kandydat</w:t>
      </w:r>
      <w:r w:rsidR="00D02BCA">
        <w:t>,</w:t>
      </w:r>
      <w:r w:rsidRPr="0048515F">
        <w:t xml:space="preserve"> lub wyznaczony przez niego przedstawiciel</w:t>
      </w:r>
      <w:r w:rsidR="00D02BCA">
        <w:t>;</w:t>
      </w:r>
    </w:p>
    <w:p w14:paraId="603AEC78" w14:textId="1B616643" w:rsidR="004D1333" w:rsidRPr="0048515F" w:rsidRDefault="004D1333" w:rsidP="00D02BCA">
      <w:pPr>
        <w:pStyle w:val="Akapitzlist"/>
        <w:numPr>
          <w:ilvl w:val="0"/>
          <w:numId w:val="37"/>
        </w:numPr>
      </w:pPr>
      <w:r w:rsidRPr="0048515F">
        <w:t xml:space="preserve">pracownik Działu Kadr. </w:t>
      </w:r>
    </w:p>
    <w:p w14:paraId="4F8EA510" w14:textId="4560E470" w:rsidR="004D1333" w:rsidRPr="0048515F" w:rsidRDefault="004D1333" w:rsidP="006964F0">
      <w:pPr>
        <w:pStyle w:val="Akapitzlist"/>
        <w:numPr>
          <w:ilvl w:val="0"/>
          <w:numId w:val="9"/>
        </w:numPr>
        <w:spacing w:before="60" w:after="60"/>
        <w:ind w:left="340" w:hanging="340"/>
      </w:pPr>
      <w:r w:rsidRPr="0048515F">
        <w:t>Rektor wskazuje przewodniczącego komisji</w:t>
      </w:r>
      <w:r w:rsidR="00D02BCA">
        <w:t xml:space="preserve"> </w:t>
      </w:r>
      <w:r w:rsidR="00C45EFE">
        <w:t>rekrutacyjnej</w:t>
      </w:r>
      <w:r w:rsidRPr="0048515F">
        <w:t xml:space="preserve">. </w:t>
      </w:r>
    </w:p>
    <w:p w14:paraId="2E5F3F1D" w14:textId="76251C49" w:rsidR="004D1333" w:rsidRPr="0048515F" w:rsidRDefault="004D1333" w:rsidP="006964F0">
      <w:pPr>
        <w:pStyle w:val="Akapitzlist"/>
        <w:numPr>
          <w:ilvl w:val="0"/>
          <w:numId w:val="9"/>
        </w:numPr>
        <w:spacing w:after="60"/>
        <w:ind w:left="340" w:hanging="340"/>
      </w:pPr>
      <w:r w:rsidRPr="00EF0BE1">
        <w:rPr>
          <w:spacing w:val="-4"/>
        </w:rPr>
        <w:t>Członkowie komisji</w:t>
      </w:r>
      <w:r w:rsidR="00D02BCA" w:rsidRPr="00EF0BE1">
        <w:rPr>
          <w:spacing w:val="-4"/>
        </w:rPr>
        <w:t xml:space="preserve"> – </w:t>
      </w:r>
      <w:r w:rsidRPr="00EF0BE1">
        <w:rPr>
          <w:spacing w:val="-4"/>
        </w:rPr>
        <w:t xml:space="preserve">przed przystąpieniem do oceny zgłoszonych kandydatur </w:t>
      </w:r>
      <w:r w:rsidR="0033390A" w:rsidRPr="00EF0BE1">
        <w:rPr>
          <w:spacing w:val="-4"/>
        </w:rPr>
        <w:t xml:space="preserve">– </w:t>
      </w:r>
      <w:r w:rsidRPr="00EF0BE1">
        <w:rPr>
          <w:spacing w:val="-4"/>
        </w:rPr>
        <w:t>zostają właściwie</w:t>
      </w:r>
      <w:r w:rsidRPr="0048515F">
        <w:t xml:space="preserve"> przeszkoleni, w tym również o konieczności poinformowania o możliwym konflikcie interesów z kandydatami. Jeżeli zachodzi konflikt interesów, członek komisji może zostać wykluczony z</w:t>
      </w:r>
      <w:r w:rsidR="00AF1008">
        <w:t> </w:t>
      </w:r>
      <w:r w:rsidRPr="0048515F">
        <w:t>komisji</w:t>
      </w:r>
      <w:r>
        <w:t>.</w:t>
      </w:r>
      <w:r w:rsidRPr="0048515F">
        <w:t xml:space="preserve"> </w:t>
      </w:r>
    </w:p>
    <w:p w14:paraId="17050F62" w14:textId="5A8681A2" w:rsidR="004D1333" w:rsidRPr="0033390A" w:rsidRDefault="004D1333" w:rsidP="006964F0">
      <w:pPr>
        <w:pStyle w:val="Akapitzlist"/>
        <w:numPr>
          <w:ilvl w:val="0"/>
          <w:numId w:val="9"/>
        </w:numPr>
        <w:spacing w:after="160"/>
        <w:ind w:left="340" w:hanging="340"/>
        <w:contextualSpacing/>
        <w:rPr>
          <w:spacing w:val="-6"/>
        </w:rPr>
      </w:pPr>
      <w:r w:rsidRPr="0033390A">
        <w:rPr>
          <w:spacing w:val="-6"/>
        </w:rPr>
        <w:lastRenderedPageBreak/>
        <w:t>Komisja</w:t>
      </w:r>
      <w:r w:rsidR="007A2A45" w:rsidRPr="007A2A45">
        <w:rPr>
          <w:color w:val="FF0000"/>
          <w:spacing w:val="-6"/>
        </w:rPr>
        <w:t xml:space="preserve"> </w:t>
      </w:r>
      <w:r w:rsidRPr="0033390A">
        <w:rPr>
          <w:spacing w:val="-6"/>
        </w:rPr>
        <w:t>może zdecydować o przeprowadzeniu rozmów kwalifikacyjnych z</w:t>
      </w:r>
      <w:r w:rsidR="006964F0">
        <w:rPr>
          <w:spacing w:val="-6"/>
        </w:rPr>
        <w:t xml:space="preserve"> </w:t>
      </w:r>
      <w:r w:rsidRPr="0033390A">
        <w:rPr>
          <w:spacing w:val="-6"/>
        </w:rPr>
        <w:t xml:space="preserve">kandydatami. </w:t>
      </w:r>
    </w:p>
    <w:p w14:paraId="0CDF2314" w14:textId="43709A2D" w:rsidR="00DD30B7" w:rsidRPr="002B251B" w:rsidRDefault="00902CAD" w:rsidP="00636889">
      <w:pPr>
        <w:pStyle w:val="nagwek3"/>
      </w:pPr>
      <w:bookmarkStart w:id="11" w:name="_Toc66431377"/>
      <w:r w:rsidRPr="002B251B">
        <w:t xml:space="preserve">1.2.3. </w:t>
      </w:r>
      <w:r w:rsidR="00DD30B7" w:rsidRPr="002B251B">
        <w:t xml:space="preserve">Przeprowadzenie </w:t>
      </w:r>
      <w:r w:rsidR="00F531F7">
        <w:t>naboru</w:t>
      </w:r>
      <w:bookmarkEnd w:id="11"/>
    </w:p>
    <w:p w14:paraId="25F595D4" w14:textId="56C94D58" w:rsidR="002A141E" w:rsidRDefault="004D1333" w:rsidP="00636889">
      <w:pPr>
        <w:pStyle w:val="Akapitzlist"/>
        <w:numPr>
          <w:ilvl w:val="0"/>
          <w:numId w:val="10"/>
        </w:numPr>
        <w:spacing w:after="60"/>
        <w:ind w:left="340" w:hanging="340"/>
      </w:pPr>
      <w:r w:rsidRPr="0048515F">
        <w:t>Dokonując oceny zgłoszonych kandydatur</w:t>
      </w:r>
      <w:r w:rsidR="00924189">
        <w:t>,</w:t>
      </w:r>
      <w:r w:rsidRPr="0048515F">
        <w:t xml:space="preserve"> należy zwrócić uwagę na spełnianie wymogów określonych w ustawie i Statucie</w:t>
      </w:r>
      <w:r w:rsidR="002A141E">
        <w:t xml:space="preserve"> ZUT</w:t>
      </w:r>
      <w:r w:rsidRPr="0048515F">
        <w:t xml:space="preserve">. </w:t>
      </w:r>
    </w:p>
    <w:p w14:paraId="382BDFE5" w14:textId="720DCFA0" w:rsidR="004D1333" w:rsidRPr="00984450" w:rsidRDefault="004D1333" w:rsidP="00636889">
      <w:pPr>
        <w:pStyle w:val="Akapitzlist"/>
        <w:numPr>
          <w:ilvl w:val="0"/>
          <w:numId w:val="10"/>
        </w:numPr>
        <w:spacing w:after="60"/>
        <w:ind w:left="340" w:hanging="340"/>
        <w:rPr>
          <w:spacing w:val="-4"/>
        </w:rPr>
      </w:pPr>
      <w:r w:rsidRPr="00984450">
        <w:rPr>
          <w:spacing w:val="-4"/>
        </w:rPr>
        <w:t xml:space="preserve">Oceniając osiągnięcia bierze się pod uwagę cały staż pracy kandydata oraz przebieg trwającego przez całe życie rozwoju zawodowego. Uwzględnia się nie tylko wskaźniki ilościowe i jakościowe publikacji, ale również inne wybitne osiągnięcia w trakcie dotychczasowej kariery zawodowej, np. doświadczenie w kształceniu, opiekę naukową, pracę zespołową, transfer wiedzy, zarządzanie badaniami naukowymi oraz działaniami w zakresie innowacji i szerzenia świadomości naukowej </w:t>
      </w:r>
      <w:r w:rsidRPr="00984450">
        <w:rPr>
          <w:spacing w:val="-5"/>
        </w:rPr>
        <w:t>w</w:t>
      </w:r>
      <w:r w:rsidR="00984450" w:rsidRPr="00984450">
        <w:rPr>
          <w:spacing w:val="-5"/>
        </w:rPr>
        <w:t> </w:t>
      </w:r>
      <w:r w:rsidRPr="00984450">
        <w:rPr>
          <w:spacing w:val="-5"/>
        </w:rPr>
        <w:t>społeczeństwie, doświadczenie w sektorze przemysłu, wkład w patenty, opracowania lub wynalazki.</w:t>
      </w:r>
      <w:r w:rsidRPr="00984450">
        <w:rPr>
          <w:spacing w:val="-4"/>
        </w:rPr>
        <w:t xml:space="preserve"> Mobilność kandydata (w tym praca w innych regionach kraju lub za granicą) może być również uznana za cenny wkład w rozwój zawodowy. </w:t>
      </w:r>
    </w:p>
    <w:p w14:paraId="06391E00" w14:textId="51D78205" w:rsidR="004D1333" w:rsidRPr="0048515F" w:rsidRDefault="004D1333" w:rsidP="00636889">
      <w:pPr>
        <w:pStyle w:val="Akapitzlist"/>
        <w:numPr>
          <w:ilvl w:val="0"/>
          <w:numId w:val="10"/>
        </w:numPr>
        <w:spacing w:after="60"/>
        <w:ind w:left="340" w:hanging="340"/>
      </w:pPr>
      <w:r w:rsidRPr="0048515F">
        <w:t xml:space="preserve">Po przeprowadzeniu </w:t>
      </w:r>
      <w:r w:rsidR="00F531F7">
        <w:t xml:space="preserve">naboru </w:t>
      </w:r>
      <w:r>
        <w:t>sporządzony zostaje</w:t>
      </w:r>
      <w:r w:rsidRPr="0048515F">
        <w:t xml:space="preserve"> protokół, w którym przedstawia się słabe i</w:t>
      </w:r>
      <w:r w:rsidR="00924189">
        <w:t> </w:t>
      </w:r>
      <w:r w:rsidRPr="0048515F">
        <w:t xml:space="preserve">mocne strony kandydatów. </w:t>
      </w:r>
    </w:p>
    <w:p w14:paraId="58409641" w14:textId="53A3D334" w:rsidR="004D1333" w:rsidRPr="00EF0BE1" w:rsidRDefault="004D1333" w:rsidP="006964F0">
      <w:pPr>
        <w:pStyle w:val="Akapitzlist"/>
        <w:numPr>
          <w:ilvl w:val="0"/>
          <w:numId w:val="10"/>
        </w:numPr>
        <w:spacing w:after="60"/>
        <w:ind w:left="340" w:hanging="340"/>
      </w:pPr>
      <w:r w:rsidRPr="0048515F">
        <w:t xml:space="preserve">Wynikiem oceny komisji naboru jest pozytywna rekomendacja jednego kandydata lub brak </w:t>
      </w:r>
      <w:r w:rsidRPr="00EF0BE1">
        <w:t xml:space="preserve">rekomendacji pozytywnego rozstrzygnięcia naboru.  </w:t>
      </w:r>
    </w:p>
    <w:p w14:paraId="40D1148E" w14:textId="4EEA667A" w:rsidR="004D1333" w:rsidRPr="0048515F" w:rsidRDefault="004D1333" w:rsidP="006964F0">
      <w:pPr>
        <w:pStyle w:val="Akapitzlist"/>
        <w:numPr>
          <w:ilvl w:val="0"/>
          <w:numId w:val="10"/>
        </w:numPr>
        <w:spacing w:after="60"/>
        <w:ind w:left="340" w:hanging="340"/>
      </w:pPr>
      <w:r w:rsidRPr="0048515F">
        <w:t>Dziekan/</w:t>
      </w:r>
      <w:r w:rsidR="007A2A45">
        <w:t>k</w:t>
      </w:r>
      <w:r w:rsidRPr="0048515F">
        <w:t>ierownik jednostki międzywydziałowej składa Rektorowi odpowiednio wniosek o</w:t>
      </w:r>
      <w:r w:rsidR="00984450">
        <w:t> </w:t>
      </w:r>
      <w:r w:rsidRPr="0048515F">
        <w:t xml:space="preserve">zatrudnienie lub zamknięcie naboru bez rozstrzygnięcia wraz z przedstawionym przez </w:t>
      </w:r>
      <w:r w:rsidR="00984450">
        <w:t>p</w:t>
      </w:r>
      <w:r w:rsidRPr="0048515F">
        <w:t xml:space="preserve">rzewodniczącego komisji naboru stanowiskiem komisji i dokumentacją. </w:t>
      </w:r>
    </w:p>
    <w:p w14:paraId="300E565E" w14:textId="116A4870" w:rsidR="004D1333" w:rsidRPr="0048515F" w:rsidRDefault="004D1333" w:rsidP="006964F0">
      <w:pPr>
        <w:pStyle w:val="Akapitzlist"/>
        <w:numPr>
          <w:ilvl w:val="0"/>
          <w:numId w:val="10"/>
        </w:numPr>
        <w:spacing w:after="60"/>
        <w:ind w:left="340" w:hanging="340"/>
      </w:pPr>
      <w:r w:rsidRPr="0048515F">
        <w:t>Rektor podejmuje decyzję o nawiązaniu stosunku pracy, przy czym stanowisko komisji</w:t>
      </w:r>
      <w:r w:rsidR="00284F73" w:rsidRPr="00F531F7">
        <w:t xml:space="preserve"> </w:t>
      </w:r>
      <w:r w:rsidRPr="00F531F7">
        <w:t>naboru</w:t>
      </w:r>
      <w:r w:rsidRPr="0048515F">
        <w:t xml:space="preserve"> nie jest dla niego wiążące. </w:t>
      </w:r>
    </w:p>
    <w:p w14:paraId="31141244" w14:textId="759EC2CD" w:rsidR="004D1333" w:rsidRDefault="004D1333" w:rsidP="006964F0">
      <w:pPr>
        <w:pStyle w:val="Akapitzlist"/>
        <w:numPr>
          <w:ilvl w:val="0"/>
          <w:numId w:val="10"/>
        </w:numPr>
        <w:spacing w:after="60"/>
        <w:ind w:left="340" w:hanging="340"/>
      </w:pPr>
      <w:r w:rsidRPr="0048515F">
        <w:t>Kandydaci, którzy nie zostali wybrani</w:t>
      </w:r>
      <w:r w:rsidR="00844E2E">
        <w:t>,</w:t>
      </w:r>
      <w:r w:rsidRPr="0048515F">
        <w:t xml:space="preserve"> zostają poinformowani mailem o słabych i mocnych stronach swoich aplikacji.</w:t>
      </w:r>
    </w:p>
    <w:p w14:paraId="239E65FA" w14:textId="0155028B" w:rsidR="004D1333" w:rsidRPr="00A913C7" w:rsidRDefault="000E228C" w:rsidP="000E228C">
      <w:pPr>
        <w:pStyle w:val="nagwek20"/>
      </w:pPr>
      <w:bookmarkStart w:id="12" w:name="_Toc66431378"/>
      <w:r>
        <w:t xml:space="preserve">1.3. </w:t>
      </w:r>
      <w:r w:rsidR="004D1333" w:rsidRPr="00A913C7">
        <w:t>Ponowne zatrudni</w:t>
      </w:r>
      <w:r w:rsidR="004D1333">
        <w:t>enie nauczyciela akademickiego</w:t>
      </w:r>
      <w:bookmarkEnd w:id="12"/>
      <w:r w:rsidR="004D1333">
        <w:t xml:space="preserve"> </w:t>
      </w:r>
    </w:p>
    <w:p w14:paraId="0EBADE85" w14:textId="234021AB" w:rsidR="004D1333" w:rsidRPr="00A265E5" w:rsidRDefault="004D1333" w:rsidP="006964F0">
      <w:pPr>
        <w:pStyle w:val="Akapitzlist"/>
        <w:numPr>
          <w:ilvl w:val="0"/>
          <w:numId w:val="31"/>
        </w:numPr>
        <w:spacing w:after="60"/>
        <w:ind w:left="340" w:hanging="340"/>
      </w:pPr>
      <w:r w:rsidRPr="00A265E5">
        <w:t>Nauczyciel akademicki, który miał zawartą z Uczelnią umowę na czas określony, może być ponownie zatrudniony</w:t>
      </w:r>
      <w:r w:rsidR="00521DE5">
        <w:t>.</w:t>
      </w:r>
      <w:r w:rsidRPr="00A265E5">
        <w:t xml:space="preserve"> </w:t>
      </w:r>
      <w:r w:rsidR="00521DE5">
        <w:t>J</w:t>
      </w:r>
      <w:r w:rsidRPr="00A265E5">
        <w:t>eżeli w trakcie swojego poprzedniego zatrudnienia pracownik uzyskał pozytywną ocenę okresową</w:t>
      </w:r>
      <w:r w:rsidR="00521DE5">
        <w:t>, d</w:t>
      </w:r>
      <w:r w:rsidRPr="00A265E5">
        <w:t>ziekan/</w:t>
      </w:r>
      <w:r w:rsidR="00844E2E">
        <w:t>k</w:t>
      </w:r>
      <w:r w:rsidRPr="00A265E5">
        <w:t>ierownik jednostki międzywydziałowej może wystąpić do Rektora z</w:t>
      </w:r>
      <w:r w:rsidR="00844E2E">
        <w:t> </w:t>
      </w:r>
      <w:r w:rsidRPr="00A265E5">
        <w:t>wnioskiem o</w:t>
      </w:r>
      <w:r w:rsidR="000A6086">
        <w:t> </w:t>
      </w:r>
      <w:r w:rsidRPr="00A265E5">
        <w:t>zatrudnienie bez procedury konkursowej</w:t>
      </w:r>
      <w:r w:rsidR="00844E2E">
        <w:t>,</w:t>
      </w:r>
      <w:r w:rsidRPr="00A265E5">
        <w:t xml:space="preserve"> przedstawiając uzasadnienie zatrudnienia oraz opinię </w:t>
      </w:r>
      <w:r w:rsidR="00F531F7">
        <w:t>r</w:t>
      </w:r>
      <w:r w:rsidRPr="00A265E5">
        <w:t xml:space="preserve">ady </w:t>
      </w:r>
      <w:r w:rsidR="001168D3">
        <w:t>d</w:t>
      </w:r>
      <w:r w:rsidRPr="00A265E5">
        <w:t>yscypliny</w:t>
      </w:r>
      <w:r w:rsidR="00844E2E">
        <w:t xml:space="preserve"> </w:t>
      </w:r>
      <w:r w:rsidR="001168D3">
        <w:t>n</w:t>
      </w:r>
      <w:r w:rsidR="00844E2E">
        <w:t>aukowej</w:t>
      </w:r>
      <w:r w:rsidRPr="00A265E5">
        <w:t xml:space="preserve"> w przypadku zatrudniania nauczyciel</w:t>
      </w:r>
      <w:r w:rsidR="001168D3">
        <w:t>a</w:t>
      </w:r>
      <w:r w:rsidRPr="00A265E5">
        <w:t xml:space="preserve"> akademick</w:t>
      </w:r>
      <w:r w:rsidR="001168D3">
        <w:t>iego</w:t>
      </w:r>
      <w:r w:rsidRPr="00A265E5">
        <w:t xml:space="preserve"> w</w:t>
      </w:r>
      <w:r w:rsidR="00844E2E">
        <w:t> </w:t>
      </w:r>
      <w:r w:rsidRPr="00A265E5">
        <w:t>grup</w:t>
      </w:r>
      <w:r w:rsidR="001168D3">
        <w:t>ie</w:t>
      </w:r>
      <w:r w:rsidRPr="00A265E5">
        <w:t xml:space="preserve"> badawczo-dydaktycznej </w:t>
      </w:r>
      <w:r w:rsidR="001168D3">
        <w:t>lub</w:t>
      </w:r>
      <w:r w:rsidRPr="00A265E5">
        <w:t xml:space="preserve"> badawczej.</w:t>
      </w:r>
    </w:p>
    <w:p w14:paraId="31F75EB9" w14:textId="77777777" w:rsidR="004D1333" w:rsidRPr="00A265E5" w:rsidRDefault="004D1333" w:rsidP="006964F0">
      <w:pPr>
        <w:pStyle w:val="Akapitzlist"/>
        <w:numPr>
          <w:ilvl w:val="0"/>
          <w:numId w:val="31"/>
        </w:numPr>
        <w:spacing w:after="60"/>
        <w:ind w:left="340" w:hanging="340"/>
      </w:pPr>
      <w:r w:rsidRPr="00A265E5">
        <w:t xml:space="preserve">Po ocenie określającej obciążenie dydaktyczne danej jednostki przez Dział Kształcenia, Rektor podejmuje decyzję o zatrudnieniu nauczyciela akademickiego lub o odmowie zatrudnienia. </w:t>
      </w:r>
    </w:p>
    <w:p w14:paraId="789C5CCD" w14:textId="77777777" w:rsidR="004D1333" w:rsidRPr="00A913C7" w:rsidRDefault="004D1333" w:rsidP="00E34E6D">
      <w:pPr>
        <w:pStyle w:val="nagwek20"/>
      </w:pPr>
      <w:bookmarkStart w:id="13" w:name="_Toc66431379"/>
      <w:r w:rsidRPr="00A913C7">
        <w:t>1.4. Zatrudnianie pracowników niebędących nauczyciel</w:t>
      </w:r>
      <w:r>
        <w:t>ami akademickimi</w:t>
      </w:r>
      <w:bookmarkEnd w:id="13"/>
      <w:r>
        <w:t xml:space="preserve">  </w:t>
      </w:r>
    </w:p>
    <w:p w14:paraId="629B6851" w14:textId="4F7C9663" w:rsidR="005A5A36" w:rsidRPr="002B251B" w:rsidRDefault="005A5A36" w:rsidP="00E34E6D">
      <w:pPr>
        <w:pStyle w:val="nagwek3"/>
        <w:rPr>
          <w:bCs/>
        </w:rPr>
      </w:pPr>
      <w:bookmarkStart w:id="14" w:name="_Toc66431380"/>
      <w:r w:rsidRPr="002B251B">
        <w:rPr>
          <w:bCs/>
        </w:rPr>
        <w:t>1.4.1.</w:t>
      </w:r>
      <w:r w:rsidRPr="002B251B">
        <w:t xml:space="preserve"> </w:t>
      </w:r>
      <w:r w:rsidR="00953C72" w:rsidRPr="002B251B">
        <w:t>O</w:t>
      </w:r>
      <w:r w:rsidRPr="002B251B">
        <w:t>głoszeni</w:t>
      </w:r>
      <w:r w:rsidR="00953C72" w:rsidRPr="002B251B">
        <w:t>e</w:t>
      </w:r>
      <w:r w:rsidRPr="002B251B">
        <w:t xml:space="preserve"> </w:t>
      </w:r>
      <w:r w:rsidR="00C45EFE">
        <w:t>rekrutacji</w:t>
      </w:r>
      <w:bookmarkEnd w:id="14"/>
    </w:p>
    <w:p w14:paraId="21A118B0" w14:textId="216F3C18" w:rsidR="004D1333" w:rsidRPr="00A913C7" w:rsidRDefault="004D1333" w:rsidP="0046434E">
      <w:pPr>
        <w:pStyle w:val="Akapitzlist"/>
        <w:numPr>
          <w:ilvl w:val="0"/>
          <w:numId w:val="11"/>
        </w:numPr>
        <w:spacing w:after="60"/>
        <w:ind w:left="340" w:hanging="340"/>
      </w:pPr>
      <w:r w:rsidRPr="00A913C7">
        <w:t xml:space="preserve">Zatrudnianie pracowników niebędących nauczycielami akademickimi przeprowadza się w formie rekrutacji wewnętrznej lub zewnętrznej za pośrednictwem Działu Kadr.  </w:t>
      </w:r>
    </w:p>
    <w:p w14:paraId="13736917" w14:textId="6CC87246" w:rsidR="005A5A36" w:rsidRDefault="004D1333" w:rsidP="000A6086">
      <w:pPr>
        <w:pStyle w:val="Akapitzlist"/>
        <w:numPr>
          <w:ilvl w:val="0"/>
          <w:numId w:val="11"/>
        </w:numPr>
        <w:spacing w:after="60"/>
        <w:ind w:left="340" w:hanging="340"/>
      </w:pPr>
      <w:r w:rsidRPr="00A913C7">
        <w:t xml:space="preserve">Kierownik </w:t>
      </w:r>
      <w:r w:rsidRPr="008F2D79">
        <w:t xml:space="preserve">jednostki organizacyjnej Uczelni lub osoba przez niego upoważniona składa do Działu </w:t>
      </w:r>
      <w:r w:rsidRPr="002A141E">
        <w:rPr>
          <w:spacing w:val="-4"/>
        </w:rPr>
        <w:t>Kadr pisemny wniosek uzasadniający potrzebę zatrudnienia pracownika niebędącego nauczycielem</w:t>
      </w:r>
      <w:r w:rsidRPr="008F2D79">
        <w:t xml:space="preserve"> akademickim. </w:t>
      </w:r>
    </w:p>
    <w:p w14:paraId="2246B1E3" w14:textId="7E0CBC77" w:rsidR="00794C0B" w:rsidRPr="003F76ED" w:rsidRDefault="004D1333" w:rsidP="000A6086">
      <w:pPr>
        <w:pStyle w:val="Akapitzlist"/>
        <w:numPr>
          <w:ilvl w:val="0"/>
          <w:numId w:val="11"/>
        </w:numPr>
        <w:spacing w:after="60"/>
        <w:ind w:left="340" w:hanging="340"/>
      </w:pPr>
      <w:r w:rsidRPr="008F2D79">
        <w:t xml:space="preserve">Do wniosku należy dołączyć </w:t>
      </w:r>
      <w:r w:rsidRPr="00A913C7">
        <w:t>opis zakresu czynności na danym stanowisku. Rektor/</w:t>
      </w:r>
      <w:r w:rsidR="00844E2E">
        <w:t>k</w:t>
      </w:r>
      <w:r w:rsidRPr="00A913C7">
        <w:t xml:space="preserve">anclerz </w:t>
      </w:r>
      <w:r w:rsidRPr="00984450">
        <w:rPr>
          <w:spacing w:val="-4"/>
        </w:rPr>
        <w:t>podejmuje decyzję o potrzebie zatrudnienia pracownika. Ogłoszenie naborze zostaje opublikowane</w:t>
      </w:r>
      <w:r w:rsidRPr="008F2D79">
        <w:t xml:space="preserve"> </w:t>
      </w:r>
      <w:r w:rsidRPr="003F76ED">
        <w:t xml:space="preserve">na stronie ZUT i BIP (ujednolicony wzór ogłoszeń). </w:t>
      </w:r>
    </w:p>
    <w:p w14:paraId="3C3CE74A" w14:textId="49A70C3A" w:rsidR="004D1333" w:rsidRPr="00A913C7" w:rsidRDefault="004D1333" w:rsidP="000A6086">
      <w:pPr>
        <w:pStyle w:val="Akapitzlist"/>
        <w:numPr>
          <w:ilvl w:val="0"/>
          <w:numId w:val="11"/>
        </w:numPr>
        <w:spacing w:after="60"/>
        <w:ind w:left="340" w:hanging="340"/>
      </w:pPr>
      <w:r w:rsidRPr="008F2D79">
        <w:t>Wszystkie oferty kierowane są na adres</w:t>
      </w:r>
      <w:r w:rsidRPr="00A913C7">
        <w:t xml:space="preserve"> elektroniczny</w:t>
      </w:r>
      <w:r>
        <w:t>:</w:t>
      </w:r>
      <w:r w:rsidRPr="00A913C7">
        <w:t xml:space="preserve"> kadry-rekrutacja@zut.edu.pl lub w</w:t>
      </w:r>
      <w:r>
        <w:t> </w:t>
      </w:r>
      <w:r w:rsidRPr="00A913C7">
        <w:t xml:space="preserve">formie papierowej na adres Działu Kadr.  </w:t>
      </w:r>
    </w:p>
    <w:p w14:paraId="2825B202" w14:textId="77777777" w:rsidR="005A5A36" w:rsidRDefault="004D1333" w:rsidP="000A6086">
      <w:pPr>
        <w:pStyle w:val="Akapitzlist"/>
        <w:numPr>
          <w:ilvl w:val="0"/>
          <w:numId w:val="11"/>
        </w:numPr>
        <w:spacing w:after="60"/>
        <w:ind w:left="340" w:hanging="340"/>
      </w:pPr>
      <w:r w:rsidRPr="00A913C7">
        <w:lastRenderedPageBreak/>
        <w:t xml:space="preserve">Dział Kadr sprawdza pod względem formalnym złożone dokumenty. </w:t>
      </w:r>
    </w:p>
    <w:p w14:paraId="199AA282" w14:textId="55E7B9F4" w:rsidR="005A5A36" w:rsidRPr="002B251B" w:rsidRDefault="000E228C" w:rsidP="00636889">
      <w:pPr>
        <w:pStyle w:val="nagwek3"/>
      </w:pPr>
      <w:bookmarkStart w:id="15" w:name="_Toc66431381"/>
      <w:r w:rsidRPr="002B251B">
        <w:t xml:space="preserve">1.4.2. </w:t>
      </w:r>
      <w:r w:rsidR="005A5A36" w:rsidRPr="002B251B">
        <w:t xml:space="preserve">Przeprowadzenie </w:t>
      </w:r>
      <w:r w:rsidR="00077392" w:rsidRPr="002B251B">
        <w:t>rekrutacji</w:t>
      </w:r>
      <w:bookmarkEnd w:id="15"/>
    </w:p>
    <w:p w14:paraId="7436116C" w14:textId="2909763F" w:rsidR="00794C0B" w:rsidRDefault="004D1333" w:rsidP="006964F0">
      <w:pPr>
        <w:pStyle w:val="Akapitzlist"/>
        <w:numPr>
          <w:ilvl w:val="0"/>
          <w:numId w:val="12"/>
        </w:numPr>
        <w:spacing w:after="60"/>
        <w:ind w:left="340" w:hanging="340"/>
      </w:pPr>
      <w:r w:rsidRPr="00A913C7">
        <w:t>Komisja</w:t>
      </w:r>
      <w:r w:rsidR="00295B37">
        <w:t xml:space="preserve"> rekrutacyjna,</w:t>
      </w:r>
      <w:r w:rsidRPr="00A913C7">
        <w:t xml:space="preserve"> w składzie</w:t>
      </w:r>
      <w:r>
        <w:t>:</w:t>
      </w:r>
      <w:r w:rsidRPr="00A913C7">
        <w:t xml:space="preserve"> kierownik jednostki organizacyjny lub bezpośredni przełożony oraz pracownik Działu Kadr</w:t>
      </w:r>
      <w:r>
        <w:t>,</w:t>
      </w:r>
      <w:r w:rsidRPr="00A913C7">
        <w:t xml:space="preserve"> zapoznaje się ze złożonymi ofertami oraz przeprowadza rozmowy </w:t>
      </w:r>
      <w:r w:rsidRPr="00AF79CB">
        <w:t>z</w:t>
      </w:r>
      <w:r w:rsidR="005A5A36" w:rsidRPr="00AF79CB">
        <w:t> </w:t>
      </w:r>
      <w:r w:rsidR="00794C0B" w:rsidRPr="00AF79CB">
        <w:t xml:space="preserve">wybranymi </w:t>
      </w:r>
      <w:r w:rsidRPr="00A913C7">
        <w:t xml:space="preserve">kandydatami. </w:t>
      </w:r>
    </w:p>
    <w:p w14:paraId="1B5A92E3" w14:textId="511D82F7" w:rsidR="005A5A36" w:rsidRDefault="004D1333" w:rsidP="006964F0">
      <w:pPr>
        <w:pStyle w:val="Akapitzlist"/>
        <w:numPr>
          <w:ilvl w:val="0"/>
          <w:numId w:val="12"/>
        </w:numPr>
        <w:spacing w:after="60"/>
        <w:ind w:left="340" w:hanging="340"/>
      </w:pPr>
      <w:r w:rsidRPr="00A913C7">
        <w:t>Po przeprowadzeniu rozmów sporządza się protokół zawierający informację o</w:t>
      </w:r>
      <w:r w:rsidR="00295B37">
        <w:t> </w:t>
      </w:r>
      <w:r w:rsidRPr="00A913C7">
        <w:t xml:space="preserve">rozstrzygnięciu naboru. </w:t>
      </w:r>
    </w:p>
    <w:p w14:paraId="32F76CAB" w14:textId="77777777" w:rsidR="005A5A36" w:rsidRDefault="004D1333" w:rsidP="006964F0">
      <w:pPr>
        <w:pStyle w:val="Akapitzlist"/>
        <w:numPr>
          <w:ilvl w:val="0"/>
          <w:numId w:val="12"/>
        </w:numPr>
        <w:spacing w:after="60"/>
        <w:ind w:left="340" w:hanging="340"/>
      </w:pPr>
      <w:r w:rsidRPr="00A913C7">
        <w:t xml:space="preserve">Dział Kadr udziela informacji zwrotnej wszystkim kandydatom, również tym, którzy nie przeszli pozytywnie rekrutacji. </w:t>
      </w:r>
    </w:p>
    <w:p w14:paraId="1B995611" w14:textId="77777777" w:rsidR="00077392" w:rsidRDefault="004D1333" w:rsidP="006964F0">
      <w:pPr>
        <w:pStyle w:val="Akapitzlist"/>
        <w:numPr>
          <w:ilvl w:val="0"/>
          <w:numId w:val="12"/>
        </w:numPr>
        <w:spacing w:after="60"/>
        <w:ind w:left="340" w:hanging="340"/>
      </w:pPr>
      <w:r w:rsidRPr="00A913C7">
        <w:t>Dokumenty złożone lub nadesłane przez kandydatów uczestniczących w naborze nie są zwracane.</w:t>
      </w:r>
    </w:p>
    <w:p w14:paraId="0781C313" w14:textId="3E0034ED" w:rsidR="004D1333" w:rsidRPr="00A913C7" w:rsidRDefault="004D1333" w:rsidP="006964F0">
      <w:pPr>
        <w:pStyle w:val="Akapitzlist"/>
        <w:numPr>
          <w:ilvl w:val="0"/>
          <w:numId w:val="12"/>
        </w:numPr>
        <w:spacing w:after="60"/>
        <w:ind w:left="340" w:hanging="340"/>
      </w:pPr>
      <w:r w:rsidRPr="00A913C7">
        <w:t>Oferty kandydatów są niezwłocznie niszczone, chyba że osoba poszukująca pracy wyraża zgodę, by brać udział w przyszłych rekrutacjach na</w:t>
      </w:r>
      <w:r>
        <w:t> </w:t>
      </w:r>
      <w:r w:rsidRPr="00A913C7">
        <w:t>stanowiska</w:t>
      </w:r>
      <w:r w:rsidRPr="00315D8F">
        <w:rPr>
          <w:strike/>
        </w:rPr>
        <w:t xml:space="preserve"> </w:t>
      </w:r>
      <w:r w:rsidRPr="00A913C7">
        <w:t>o podobnych charakterze</w:t>
      </w:r>
      <w:r>
        <w:t>.</w:t>
      </w:r>
    </w:p>
    <w:p w14:paraId="1825646E" w14:textId="63ED03A0" w:rsidR="004D1333" w:rsidRDefault="004D1333" w:rsidP="006964F0">
      <w:pPr>
        <w:pStyle w:val="Akapitzlist"/>
        <w:numPr>
          <w:ilvl w:val="0"/>
          <w:numId w:val="12"/>
        </w:numPr>
        <w:spacing w:after="60"/>
        <w:ind w:left="340" w:hanging="340"/>
      </w:pPr>
      <w:r>
        <w:t>O</w:t>
      </w:r>
      <w:r w:rsidRPr="00A913C7">
        <w:t>stateczn</w:t>
      </w:r>
      <w:r>
        <w:t>ą decyzję dotyczącą</w:t>
      </w:r>
      <w:r w:rsidRPr="00A913C7">
        <w:t xml:space="preserve"> wyboru kandydata dokonuje </w:t>
      </w:r>
      <w:r>
        <w:t xml:space="preserve">odpowiednio Rektor lub </w:t>
      </w:r>
      <w:r w:rsidR="00077392">
        <w:t>k</w:t>
      </w:r>
      <w:r>
        <w:t>anclerz w</w:t>
      </w:r>
      <w:r w:rsidR="00077392">
        <w:t> </w:t>
      </w:r>
      <w:r>
        <w:t>oparciu o wniosek kierownika jednostki organizacyjnej.</w:t>
      </w:r>
    </w:p>
    <w:p w14:paraId="6D8A9019" w14:textId="2AE0CEB2" w:rsidR="004D1333" w:rsidRPr="000B0205" w:rsidRDefault="000E228C" w:rsidP="000E228C">
      <w:pPr>
        <w:pStyle w:val="nagwek20"/>
      </w:pPr>
      <w:bookmarkStart w:id="16" w:name="_Toc66431382"/>
      <w:r>
        <w:t xml:space="preserve">1.5. </w:t>
      </w:r>
      <w:r w:rsidR="004D1333">
        <w:t>Dobre praktyki w zatrudnianiu</w:t>
      </w:r>
      <w:bookmarkEnd w:id="16"/>
      <w:r w:rsidR="004D1333">
        <w:t xml:space="preserve"> </w:t>
      </w:r>
    </w:p>
    <w:p w14:paraId="03388578" w14:textId="5A03DEF1" w:rsidR="00AF79CB" w:rsidRPr="00A35DB7" w:rsidRDefault="00AF79CB" w:rsidP="006964F0">
      <w:pPr>
        <w:pStyle w:val="Akapitzlist"/>
        <w:numPr>
          <w:ilvl w:val="0"/>
          <w:numId w:val="13"/>
        </w:numPr>
        <w:spacing w:after="60"/>
        <w:ind w:left="340" w:hanging="340"/>
      </w:pPr>
      <w:r w:rsidRPr="00A35DB7">
        <w:rPr>
          <w:spacing w:val="-4"/>
        </w:rPr>
        <w:t>W ZUT obowiązuje ujednolicony wzór ogłoszenia o rekrutacji i naborze</w:t>
      </w:r>
      <w:r w:rsidR="00163B71" w:rsidRPr="00A35DB7">
        <w:rPr>
          <w:spacing w:val="-4"/>
        </w:rPr>
        <w:t xml:space="preserve">, </w:t>
      </w:r>
      <w:r w:rsidR="00995488" w:rsidRPr="00A35DB7">
        <w:rPr>
          <w:rFonts w:eastAsia="Calibri"/>
          <w:spacing w:val="-4"/>
        </w:rPr>
        <w:t>standaryzujący informacje</w:t>
      </w:r>
      <w:r w:rsidR="00995488" w:rsidRPr="00A35DB7">
        <w:rPr>
          <w:rFonts w:eastAsia="Calibri"/>
          <w:spacing w:val="1"/>
        </w:rPr>
        <w:t xml:space="preserve"> zawierane w ogłoszeniu o pracę</w:t>
      </w:r>
      <w:r w:rsidR="00995488" w:rsidRPr="00A35DB7">
        <w:t>.</w:t>
      </w:r>
    </w:p>
    <w:p w14:paraId="77C6FB80" w14:textId="1A81DDD8" w:rsidR="004D1333" w:rsidRPr="00A35DB7" w:rsidRDefault="004D1333" w:rsidP="006964F0">
      <w:pPr>
        <w:pStyle w:val="Akapitzlist"/>
        <w:numPr>
          <w:ilvl w:val="0"/>
          <w:numId w:val="13"/>
        </w:numPr>
        <w:spacing w:after="60"/>
        <w:ind w:left="340" w:hanging="340"/>
      </w:pPr>
      <w:r w:rsidRPr="00A35DB7">
        <w:rPr>
          <w:spacing w:val="-4"/>
        </w:rPr>
        <w:t>W celu obiektywnego wyboru kandydata na ogłoszone stanowisko, Rektor powołuje odpowiednio</w:t>
      </w:r>
      <w:r w:rsidRPr="00A35DB7">
        <w:t xml:space="preserve"> komisję konkursową lub komisję </w:t>
      </w:r>
      <w:r w:rsidR="00794C0B" w:rsidRPr="00A35DB7">
        <w:t>rekrutacyjną/</w:t>
      </w:r>
      <w:r w:rsidRPr="00A35DB7">
        <w:t xml:space="preserve">naboru. </w:t>
      </w:r>
    </w:p>
    <w:p w14:paraId="3DFAB79D" w14:textId="757BDD50" w:rsidR="00CA031A" w:rsidRPr="00A35DB7" w:rsidRDefault="004D1333" w:rsidP="00DE6AC1">
      <w:pPr>
        <w:pStyle w:val="Akapitzlist"/>
        <w:numPr>
          <w:ilvl w:val="0"/>
          <w:numId w:val="13"/>
        </w:numPr>
        <w:spacing w:after="60"/>
        <w:ind w:left="340" w:hanging="340"/>
      </w:pPr>
      <w:r w:rsidRPr="00A35DB7">
        <w:t>W ZUT</w:t>
      </w:r>
      <w:r w:rsidR="00794C0B" w:rsidRPr="00A35DB7">
        <w:t xml:space="preserve"> </w:t>
      </w:r>
      <w:r w:rsidR="001F7E4B" w:rsidRPr="00A35DB7">
        <w:t>mają za</w:t>
      </w:r>
      <w:r w:rsidR="00EC5495" w:rsidRPr="00A35DB7">
        <w:t>stos</w:t>
      </w:r>
      <w:r w:rsidR="001F7E4B" w:rsidRPr="00A35DB7">
        <w:t>owanie</w:t>
      </w:r>
      <w:r w:rsidR="00EC5495" w:rsidRPr="00A35DB7">
        <w:t xml:space="preserve"> </w:t>
      </w:r>
      <w:r w:rsidRPr="00A35DB7">
        <w:t>formularze rekrutacyjne, według których dokonywana jest ocena kandydata</w:t>
      </w:r>
      <w:r w:rsidR="00CA031A" w:rsidRPr="00A35DB7">
        <w:t>, stanowiące wsparcie dla członków komisji oceniającej kandydatów do pracy w ZUT, dający możliwość przygotowania notatki o mocnych i słabych stronach kandydata, która będzie stanowić informację zwrotną dla niego.</w:t>
      </w:r>
    </w:p>
    <w:p w14:paraId="73451EFF" w14:textId="631CAB80" w:rsidR="004D1333" w:rsidRPr="000B0205" w:rsidRDefault="004D1333" w:rsidP="006964F0">
      <w:pPr>
        <w:pStyle w:val="Akapitzlist"/>
        <w:numPr>
          <w:ilvl w:val="0"/>
          <w:numId w:val="13"/>
        </w:numPr>
        <w:spacing w:after="60"/>
        <w:ind w:left="340" w:hanging="340"/>
      </w:pPr>
      <w:r w:rsidRPr="000B0205">
        <w:t xml:space="preserve">Członkowie komisji konkursowej lub komisji </w:t>
      </w:r>
      <w:r w:rsidR="00794C0B" w:rsidRPr="00AF79CB">
        <w:t>rekrutacyjnej/</w:t>
      </w:r>
      <w:r w:rsidRPr="00AF79CB">
        <w:t xml:space="preserve">naboru </w:t>
      </w:r>
      <w:r w:rsidRPr="000B0205">
        <w:t xml:space="preserve">zostają zapoznani z procedurą konkursu lub </w:t>
      </w:r>
      <w:r w:rsidRPr="002F43A8">
        <w:rPr>
          <w:spacing w:val="-4"/>
        </w:rPr>
        <w:t>naboru, w tym możliwością wykluczenia z komisji, o ile zachodzi konflikt interesów z</w:t>
      </w:r>
      <w:r w:rsidR="00896DA4">
        <w:rPr>
          <w:spacing w:val="-4"/>
        </w:rPr>
        <w:t> </w:t>
      </w:r>
      <w:r w:rsidRPr="002F43A8">
        <w:rPr>
          <w:spacing w:val="-4"/>
        </w:rPr>
        <w:t>którymkolwiek</w:t>
      </w:r>
      <w:r>
        <w:t xml:space="preserve"> z kandydatów. </w:t>
      </w:r>
    </w:p>
    <w:p w14:paraId="3DC32442" w14:textId="3D22C90D" w:rsidR="004D1333" w:rsidRPr="008225F9" w:rsidRDefault="004D1333" w:rsidP="006964F0">
      <w:pPr>
        <w:pStyle w:val="Akapitzlist"/>
        <w:numPr>
          <w:ilvl w:val="0"/>
          <w:numId w:val="13"/>
        </w:numPr>
        <w:spacing w:after="60"/>
        <w:ind w:left="340" w:hanging="340"/>
        <w:rPr>
          <w:spacing w:val="-5"/>
        </w:rPr>
      </w:pPr>
      <w:r w:rsidRPr="008225F9">
        <w:rPr>
          <w:spacing w:val="-5"/>
        </w:rPr>
        <w:t xml:space="preserve">Umowa o pracę zawarta z obcokrajowcem zostaje sporządzona w języku polskim i języku angielskim. </w:t>
      </w:r>
    </w:p>
    <w:p w14:paraId="0252C921" w14:textId="4DDCBB5B" w:rsidR="004D1333" w:rsidRPr="000B0205" w:rsidRDefault="004D1333" w:rsidP="006964F0">
      <w:pPr>
        <w:pStyle w:val="Akapitzlist"/>
        <w:numPr>
          <w:ilvl w:val="0"/>
          <w:numId w:val="13"/>
        </w:numPr>
        <w:spacing w:after="60"/>
        <w:ind w:left="340" w:hanging="340"/>
      </w:pPr>
      <w:r w:rsidRPr="000B0205">
        <w:t xml:space="preserve">W ZUT nie może powstać stosunek bezpośredniej podległości służbowej między małżonkami </w:t>
      </w:r>
      <w:r w:rsidRPr="001F7E4B">
        <w:rPr>
          <w:spacing w:val="-4"/>
        </w:rPr>
        <w:t>oraz osobami prowadzącymi wspólne gospodarstwo domowe lub pozostającymi ze sobą w</w:t>
      </w:r>
      <w:r w:rsidR="002F43A8" w:rsidRPr="001F7E4B">
        <w:rPr>
          <w:spacing w:val="-4"/>
        </w:rPr>
        <w:t> </w:t>
      </w:r>
      <w:r w:rsidRPr="001F7E4B">
        <w:rPr>
          <w:spacing w:val="-4"/>
        </w:rPr>
        <w:t>stosunku pokrewieństwa, powinowactwa do drugiego stopnia albo w stosunku przysposobienia</w:t>
      </w:r>
      <w:r w:rsidRPr="000B0205">
        <w:t>, opieki lub kurateli. W tym celu przed nawiązaniem stosunku pracy bezpośredni przełożony, któremu osoba podejmująca zatrudnienie będzie podlegała, składa odpowiednie oświadczenie, okre</w:t>
      </w:r>
      <w:r>
        <w:t>ślone w</w:t>
      </w:r>
      <w:r w:rsidR="00896DA4">
        <w:t> </w:t>
      </w:r>
      <w:r>
        <w:t xml:space="preserve">Regulaminie pracy ZUT. </w:t>
      </w:r>
    </w:p>
    <w:p w14:paraId="3CFA9F9A" w14:textId="307FF5D4" w:rsidR="004D1333" w:rsidRPr="00BE0D25" w:rsidRDefault="004D1333" w:rsidP="008225F9">
      <w:pPr>
        <w:pStyle w:val="Akapitzlist"/>
        <w:numPr>
          <w:ilvl w:val="0"/>
          <w:numId w:val="13"/>
        </w:numPr>
        <w:spacing w:after="60"/>
        <w:ind w:left="340" w:hanging="340"/>
      </w:pPr>
      <w:r w:rsidRPr="00BE0D25">
        <w:t xml:space="preserve">W celu przeciwdziałania dyskryminacji i mobbingowi Rektor wprowadził </w:t>
      </w:r>
      <w:r w:rsidR="002F43A8" w:rsidRPr="00BE0D25">
        <w:t>z</w:t>
      </w:r>
      <w:r w:rsidRPr="00BE0D25">
        <w:t>arządzeniem nr 27 z</w:t>
      </w:r>
      <w:r w:rsidR="00CF2710" w:rsidRPr="00BE0D25">
        <w:t> </w:t>
      </w:r>
      <w:r w:rsidR="002F43A8" w:rsidRPr="00BE0D25">
        <w:t xml:space="preserve">dnia </w:t>
      </w:r>
      <w:r w:rsidRPr="00BE0D25">
        <w:t>18</w:t>
      </w:r>
      <w:r w:rsidR="002F43A8" w:rsidRPr="00BE0D25">
        <w:t xml:space="preserve"> kwietnia </w:t>
      </w:r>
      <w:r w:rsidRPr="00BE0D25">
        <w:t>2018 r.</w:t>
      </w:r>
      <w:r w:rsidR="008A4BB4" w:rsidRPr="00BE0D25">
        <w:t xml:space="preserve"> </w:t>
      </w:r>
      <w:r w:rsidR="002F43A8" w:rsidRPr="00BE0D25">
        <w:t>P</w:t>
      </w:r>
      <w:r w:rsidRPr="00BE0D25">
        <w:t>rocedur</w:t>
      </w:r>
      <w:r w:rsidR="002F43A8" w:rsidRPr="00BE0D25">
        <w:t>ę</w:t>
      </w:r>
      <w:r w:rsidRPr="00BE0D25">
        <w:t xml:space="preserve"> przeciwdziałania mobbingowi w</w:t>
      </w:r>
      <w:r w:rsidR="00DC424A" w:rsidRPr="00BE0D25">
        <w:t xml:space="preserve"> </w:t>
      </w:r>
      <w:r w:rsidRPr="00BE0D25">
        <w:t xml:space="preserve">Zachodniopomorskim </w:t>
      </w:r>
      <w:r w:rsidRPr="00BE0D25">
        <w:rPr>
          <w:spacing w:val="-4"/>
        </w:rPr>
        <w:t>Uniwersytecie Technologicznym w Szczecinie, określając</w:t>
      </w:r>
      <w:r w:rsidR="002F43A8" w:rsidRPr="00BE0D25">
        <w:rPr>
          <w:spacing w:val="-4"/>
        </w:rPr>
        <w:t>ą</w:t>
      </w:r>
      <w:r w:rsidRPr="00BE0D25">
        <w:rPr>
          <w:spacing w:val="-4"/>
        </w:rPr>
        <w:t xml:space="preserve"> sposób postępowania przy zgłoszeniach</w:t>
      </w:r>
      <w:r w:rsidRPr="00BE0D25">
        <w:t xml:space="preserve"> przypadków dyskryminacji i mobbingu oraz zasady powoływania rzecznika zaufania i zespołu do rozpatrywania zgłoszeń.</w:t>
      </w:r>
    </w:p>
    <w:p w14:paraId="7523E0CB" w14:textId="77777777" w:rsidR="00EA3C58" w:rsidRPr="00EC61C2" w:rsidRDefault="00EA3C58" w:rsidP="00896DA4">
      <w:pPr>
        <w:pStyle w:val="Nagwek1"/>
        <w:keepNext/>
      </w:pPr>
      <w:bookmarkStart w:id="17" w:name="_Toc66431383"/>
      <w:bookmarkStart w:id="18" w:name="_Hlk66439610"/>
      <w:r w:rsidRPr="00EC61C2">
        <w:lastRenderedPageBreak/>
        <w:t>Dział 2. Wspieranie w rozwoju zawodowym</w:t>
      </w:r>
      <w:bookmarkEnd w:id="17"/>
      <w:r w:rsidRPr="00EC61C2">
        <w:t xml:space="preserve"> </w:t>
      </w:r>
    </w:p>
    <w:p w14:paraId="7C73AF2C" w14:textId="77777777" w:rsidR="00EA3C58" w:rsidRPr="000B0205" w:rsidRDefault="00EA3C58" w:rsidP="00896DA4">
      <w:pPr>
        <w:pStyle w:val="nagwek20"/>
        <w:keepNext/>
      </w:pPr>
      <w:bookmarkStart w:id="19" w:name="_Toc66431384"/>
      <w:r w:rsidRPr="000B0205">
        <w:t>2.1. Podnoszenie kwalifikacji zawodowyc</w:t>
      </w:r>
      <w:r>
        <w:t>h</w:t>
      </w:r>
      <w:bookmarkEnd w:id="19"/>
      <w:r>
        <w:t xml:space="preserve"> </w:t>
      </w:r>
    </w:p>
    <w:p w14:paraId="7D142CAF" w14:textId="03285DB9" w:rsidR="00EA3C58" w:rsidRPr="000B0205" w:rsidRDefault="00EA3C58" w:rsidP="0065313A">
      <w:pPr>
        <w:pStyle w:val="Akapitzlist"/>
        <w:keepLines/>
        <w:numPr>
          <w:ilvl w:val="0"/>
          <w:numId w:val="14"/>
        </w:numPr>
        <w:spacing w:after="60"/>
        <w:ind w:left="340" w:hanging="340"/>
      </w:pPr>
      <w:r w:rsidRPr="000B0205">
        <w:t>Uczelnia jako pracodawca zapewnia możliwość r</w:t>
      </w:r>
      <w:r>
        <w:t>ozwoju zawodowego pracowników na </w:t>
      </w:r>
      <w:r w:rsidRPr="000B0205">
        <w:t xml:space="preserve">każdym </w:t>
      </w:r>
      <w:r w:rsidRPr="00206331">
        <w:rPr>
          <w:spacing w:val="-4"/>
        </w:rPr>
        <w:t>etapie ich kariery zawodowej. Swoje działania opiera na strategii ciągłego doskonalenia, zapewniając</w:t>
      </w:r>
      <w:r w:rsidRPr="000B0205">
        <w:t xml:space="preserve"> zarówno nauczycielom akademickim, jak również pracownikom niebędącym nauczycielami akademickimi wsparcie</w:t>
      </w:r>
      <w:r>
        <w:t xml:space="preserve"> i pomoc w poszerzaniu wiedzy </w:t>
      </w:r>
      <w:r w:rsidRPr="000B0205">
        <w:t xml:space="preserve">i umiejętności. </w:t>
      </w:r>
    </w:p>
    <w:p w14:paraId="0A031F9A" w14:textId="14C07129" w:rsidR="00EA3C58" w:rsidRPr="000B0205" w:rsidRDefault="00EA3C58" w:rsidP="006964F0">
      <w:pPr>
        <w:pStyle w:val="Akapitzlist"/>
        <w:numPr>
          <w:ilvl w:val="0"/>
          <w:numId w:val="14"/>
        </w:numPr>
        <w:spacing w:after="60"/>
        <w:ind w:left="340" w:hanging="340"/>
      </w:pPr>
      <w:r w:rsidRPr="000B0205">
        <w:t xml:space="preserve">Regulamin określający szczegółowe zasady i warunki podnoszenia kwalifikacji zawodowych </w:t>
      </w:r>
      <w:r w:rsidRPr="001F7E4B">
        <w:rPr>
          <w:spacing w:val="-2"/>
        </w:rPr>
        <w:t>pracowników na studiach podyplomowych, szkoleniach, kursach, seminariach oraz innych formach</w:t>
      </w:r>
      <w:r w:rsidRPr="000B0205">
        <w:t xml:space="preserve"> kształcenia został wprowadzony </w:t>
      </w:r>
      <w:r w:rsidR="00334E15">
        <w:t>z</w:t>
      </w:r>
      <w:r w:rsidRPr="000B0205">
        <w:t>arządzeniem nr 61 Rektora ZUT z</w:t>
      </w:r>
      <w:r w:rsidR="00334E15">
        <w:t xml:space="preserve"> dnia</w:t>
      </w:r>
      <w:r w:rsidRPr="000B0205">
        <w:t xml:space="preserve"> </w:t>
      </w:r>
      <w:r w:rsidR="001F7E4B">
        <w:t xml:space="preserve">12 lipca </w:t>
      </w:r>
      <w:r w:rsidRPr="000B0205">
        <w:t xml:space="preserve">2018 r.  </w:t>
      </w:r>
    </w:p>
    <w:p w14:paraId="34E00B52" w14:textId="77777777" w:rsidR="00EA3C58" w:rsidRDefault="00EA3C58" w:rsidP="00636889">
      <w:pPr>
        <w:pStyle w:val="Akapitzlist"/>
        <w:numPr>
          <w:ilvl w:val="0"/>
          <w:numId w:val="14"/>
        </w:numPr>
        <w:spacing w:after="60"/>
        <w:ind w:left="340" w:hanging="340"/>
      </w:pPr>
      <w:r w:rsidRPr="000B0205">
        <w:t>Podnoszenie kwalifikacji zawodowych może odbywać się z inicjatywy kierownika jednostki, bądź Rektora (na podstawie skierowania wydanego przez Uczelnię) lub za ich zgodą (na podstawie wniosku pracownika). W zależności od długości trwania procesu szkoleniowego oraz opłat z tym związanych</w:t>
      </w:r>
      <w:r>
        <w:t>,</w:t>
      </w:r>
      <w:r w:rsidRPr="000B0205">
        <w:t xml:space="preserve"> decyzję podejmuje odpowiednio Rektor lub kierownik jednostki.  </w:t>
      </w:r>
    </w:p>
    <w:p w14:paraId="121F215C" w14:textId="77777777" w:rsidR="00EA3C58" w:rsidRDefault="00EA3C58" w:rsidP="006964F0">
      <w:pPr>
        <w:pStyle w:val="Akapitzlist"/>
        <w:numPr>
          <w:ilvl w:val="0"/>
          <w:numId w:val="14"/>
        </w:numPr>
        <w:spacing w:after="60"/>
        <w:ind w:left="340" w:hanging="340"/>
      </w:pPr>
      <w:r w:rsidRPr="009E4721">
        <w:t>W przypadku zobowiązania pracownika do pozostania w zatrudnieniu po zakończeniu procesu podnoszenia</w:t>
      </w:r>
      <w:r>
        <w:t xml:space="preserve"> </w:t>
      </w:r>
      <w:r w:rsidRPr="000B0205">
        <w:t>kwalifikacji zawodowych, Rekto</w:t>
      </w:r>
      <w:r>
        <w:t>r zawiera z pracownikiem pisemną</w:t>
      </w:r>
      <w:r w:rsidRPr="000B0205">
        <w:t xml:space="preserve"> umowę tzw. szkoleniową, która określa wzajemne prawa i obowiązki stron.</w:t>
      </w:r>
    </w:p>
    <w:p w14:paraId="35499225" w14:textId="3E323F29" w:rsidR="00EA3C58" w:rsidRPr="00103386" w:rsidRDefault="00EA3C58" w:rsidP="00E95BFF">
      <w:pPr>
        <w:pStyle w:val="nagwek20"/>
      </w:pPr>
      <w:bookmarkStart w:id="20" w:name="_Toc66431385"/>
      <w:r w:rsidRPr="00D0496B">
        <w:t xml:space="preserve">2.2. </w:t>
      </w:r>
      <w:r w:rsidR="00810B13" w:rsidRPr="00D0496B">
        <w:t xml:space="preserve">Program </w:t>
      </w:r>
      <w:r w:rsidRPr="00D0496B">
        <w:t>E</w:t>
      </w:r>
      <w:r w:rsidR="00810B13" w:rsidRPr="00D0496B">
        <w:t>rasmus</w:t>
      </w:r>
      <w:r w:rsidRPr="00D0496B">
        <w:t>+</w:t>
      </w:r>
      <w:bookmarkEnd w:id="20"/>
      <w:r w:rsidRPr="00103386">
        <w:t xml:space="preserve"> </w:t>
      </w:r>
    </w:p>
    <w:p w14:paraId="319C2A4B" w14:textId="6E562371" w:rsidR="00334E15" w:rsidRPr="00BA7A97" w:rsidRDefault="00EA3C58" w:rsidP="006964F0">
      <w:pPr>
        <w:pStyle w:val="Akapitzlist"/>
        <w:numPr>
          <w:ilvl w:val="0"/>
          <w:numId w:val="17"/>
        </w:numPr>
        <w:spacing w:after="60"/>
        <w:ind w:left="340" w:hanging="340"/>
      </w:pPr>
      <w:r w:rsidRPr="0088277E">
        <w:t xml:space="preserve">Jednym z działań ZUT pozwalającym osiągnąć </w:t>
      </w:r>
      <w:r w:rsidRPr="002F6E6A">
        <w:t xml:space="preserve">strategiczne cele w obszarze rozwoju zasobów </w:t>
      </w:r>
      <w:r w:rsidRPr="00BA7A97">
        <w:rPr>
          <w:spacing w:val="-6"/>
        </w:rPr>
        <w:t>ludzkich</w:t>
      </w:r>
      <w:r w:rsidRPr="00BA7A97" w:rsidDel="000F5A98">
        <w:rPr>
          <w:spacing w:val="-6"/>
        </w:rPr>
        <w:t xml:space="preserve"> </w:t>
      </w:r>
      <w:r w:rsidRPr="00BA7A97">
        <w:rPr>
          <w:spacing w:val="-6"/>
        </w:rPr>
        <w:t>jest uczestnictwo w Programie Erasmus+</w:t>
      </w:r>
      <w:r w:rsidR="006158D4" w:rsidRPr="00BA7A97">
        <w:rPr>
          <w:spacing w:val="-6"/>
        </w:rPr>
        <w:t>, który odnosi się do jakości i umiędzynarodowienia</w:t>
      </w:r>
      <w:r w:rsidR="006158D4" w:rsidRPr="00BA7A97">
        <w:t xml:space="preserve"> kształcenia (w tym udział pracowników dydaktycznych).</w:t>
      </w:r>
    </w:p>
    <w:p w14:paraId="5A11010A" w14:textId="7ED1911A" w:rsidR="00334E15" w:rsidRPr="00CF2710" w:rsidRDefault="00334E15" w:rsidP="006964F0">
      <w:pPr>
        <w:pStyle w:val="Akapitzlist"/>
        <w:numPr>
          <w:ilvl w:val="0"/>
          <w:numId w:val="17"/>
        </w:numPr>
        <w:ind w:left="340" w:hanging="340"/>
      </w:pPr>
      <w:r w:rsidRPr="00CF2710">
        <w:t>Program Erasmus+ u</w:t>
      </w:r>
      <w:r w:rsidR="00EA3C58" w:rsidRPr="00CF2710">
        <w:t>możliwia</w:t>
      </w:r>
      <w:r w:rsidRPr="00CF2710">
        <w:t xml:space="preserve"> udział:</w:t>
      </w:r>
      <w:r w:rsidR="00EA3C58" w:rsidRPr="00CF2710">
        <w:t xml:space="preserve"> </w:t>
      </w:r>
    </w:p>
    <w:p w14:paraId="1725F4AA" w14:textId="354E352F" w:rsidR="00334E15" w:rsidRPr="00A17D1F" w:rsidRDefault="00EA3C58" w:rsidP="00E95BFF">
      <w:pPr>
        <w:pStyle w:val="Akapitzlist"/>
        <w:numPr>
          <w:ilvl w:val="0"/>
          <w:numId w:val="16"/>
        </w:numPr>
      </w:pPr>
      <w:r w:rsidRPr="00A17D1F">
        <w:t>nauczyciel</w:t>
      </w:r>
      <w:r w:rsidR="00A17D1F" w:rsidRPr="00A17D1F">
        <w:t>i</w:t>
      </w:r>
      <w:r w:rsidRPr="00A17D1F">
        <w:t xml:space="preserve"> akademicki</w:t>
      </w:r>
      <w:r w:rsidR="00A17D1F" w:rsidRPr="00A17D1F">
        <w:t>ch</w:t>
      </w:r>
      <w:r w:rsidRPr="00A17D1F">
        <w:t xml:space="preserve"> </w:t>
      </w:r>
      <w:r w:rsidR="00CF2710" w:rsidRPr="00A17D1F">
        <w:t xml:space="preserve">– </w:t>
      </w:r>
      <w:r w:rsidR="00EC5495" w:rsidRPr="00A17D1F">
        <w:t xml:space="preserve">w </w:t>
      </w:r>
      <w:r w:rsidRPr="00A17D1F">
        <w:t>zagranicznych wyjazd</w:t>
      </w:r>
      <w:r w:rsidR="00EC5495" w:rsidRPr="00A17D1F">
        <w:t>ach</w:t>
      </w:r>
      <w:r w:rsidRPr="00A17D1F">
        <w:t xml:space="preserve"> dydaktycznych, </w:t>
      </w:r>
    </w:p>
    <w:p w14:paraId="39E44E5A" w14:textId="0768E3C9" w:rsidR="00615340" w:rsidRPr="00A17D1F" w:rsidRDefault="00EA3C58" w:rsidP="00E95BFF">
      <w:pPr>
        <w:pStyle w:val="Akapitzlist"/>
        <w:numPr>
          <w:ilvl w:val="0"/>
          <w:numId w:val="16"/>
        </w:numPr>
      </w:pPr>
      <w:r w:rsidRPr="00A17D1F">
        <w:rPr>
          <w:spacing w:val="-4"/>
        </w:rPr>
        <w:t>wszystki</w:t>
      </w:r>
      <w:r w:rsidR="00A17D1F" w:rsidRPr="00A17D1F">
        <w:rPr>
          <w:spacing w:val="-4"/>
        </w:rPr>
        <w:t>ch</w:t>
      </w:r>
      <w:r w:rsidRPr="00A17D1F">
        <w:rPr>
          <w:spacing w:val="-4"/>
        </w:rPr>
        <w:t xml:space="preserve"> pracownik</w:t>
      </w:r>
      <w:r w:rsidR="00A17D1F" w:rsidRPr="00A17D1F">
        <w:rPr>
          <w:spacing w:val="-4"/>
        </w:rPr>
        <w:t>ów</w:t>
      </w:r>
      <w:r w:rsidRPr="00A17D1F">
        <w:rPr>
          <w:spacing w:val="-4"/>
        </w:rPr>
        <w:t xml:space="preserve"> </w:t>
      </w:r>
      <w:r w:rsidR="00334E15" w:rsidRPr="00A17D1F">
        <w:rPr>
          <w:spacing w:val="-4"/>
        </w:rPr>
        <w:t>U</w:t>
      </w:r>
      <w:r w:rsidRPr="00A17D1F">
        <w:rPr>
          <w:spacing w:val="-4"/>
        </w:rPr>
        <w:t xml:space="preserve">czelni </w:t>
      </w:r>
      <w:r w:rsidR="00CF2710" w:rsidRPr="00A17D1F">
        <w:rPr>
          <w:spacing w:val="-4"/>
        </w:rPr>
        <w:t xml:space="preserve">– </w:t>
      </w:r>
      <w:r w:rsidR="00EC5495" w:rsidRPr="00A17D1F">
        <w:rPr>
          <w:spacing w:val="-4"/>
        </w:rPr>
        <w:t xml:space="preserve">w </w:t>
      </w:r>
      <w:r w:rsidRPr="00A17D1F">
        <w:rPr>
          <w:spacing w:val="-4"/>
        </w:rPr>
        <w:t>zagranicznych wyjazd</w:t>
      </w:r>
      <w:r w:rsidR="00EC5495" w:rsidRPr="00A17D1F">
        <w:rPr>
          <w:spacing w:val="-4"/>
        </w:rPr>
        <w:t>ach</w:t>
      </w:r>
      <w:r w:rsidRPr="00A17D1F">
        <w:rPr>
          <w:spacing w:val="-4"/>
        </w:rPr>
        <w:t xml:space="preserve"> szkoleniowych realizowanych</w:t>
      </w:r>
      <w:r w:rsidRPr="00A17D1F">
        <w:t xml:space="preserve"> zarówno w krajach programu, jak i krajach partnerskich oraz </w:t>
      </w:r>
    </w:p>
    <w:p w14:paraId="51AC27F7" w14:textId="56F745C6" w:rsidR="00334E15" w:rsidRPr="00A17D1F" w:rsidRDefault="00EA3C58" w:rsidP="00E95BFF">
      <w:pPr>
        <w:pStyle w:val="Akapitzlist"/>
        <w:numPr>
          <w:ilvl w:val="0"/>
          <w:numId w:val="16"/>
        </w:numPr>
      </w:pPr>
      <w:r w:rsidRPr="00A17D1F">
        <w:t>pracownik</w:t>
      </w:r>
      <w:r w:rsidR="00A17D1F" w:rsidRPr="00A17D1F">
        <w:t>ów</w:t>
      </w:r>
      <w:r w:rsidRPr="00A17D1F">
        <w:t xml:space="preserve"> </w:t>
      </w:r>
      <w:r w:rsidR="00CF2710" w:rsidRPr="00A17D1F">
        <w:t xml:space="preserve">– </w:t>
      </w:r>
      <w:r w:rsidRPr="00A17D1F">
        <w:t>w</w:t>
      </w:r>
      <w:r w:rsidR="00334E15" w:rsidRPr="00A17D1F">
        <w:t> </w:t>
      </w:r>
      <w:r w:rsidRPr="00A17D1F">
        <w:t xml:space="preserve">międzynarodowych projektach współpracy. </w:t>
      </w:r>
    </w:p>
    <w:p w14:paraId="62785D4C" w14:textId="1760F989" w:rsidR="00EA3C58" w:rsidRDefault="00EA3C58" w:rsidP="006964F0">
      <w:pPr>
        <w:pStyle w:val="Akapitzlist"/>
        <w:numPr>
          <w:ilvl w:val="0"/>
          <w:numId w:val="17"/>
        </w:numPr>
        <w:spacing w:before="60"/>
        <w:ind w:left="340" w:hanging="340"/>
      </w:pPr>
      <w:r w:rsidRPr="00810B13">
        <w:rPr>
          <w:spacing w:val="-4"/>
        </w:rPr>
        <w:t>Powiązanymi procedurami koordynuje centralnie Dział Mobilności Międzynarodowej, do którego</w:t>
      </w:r>
      <w:r w:rsidRPr="0088277E">
        <w:t xml:space="preserve"> głównych zadań należą: </w:t>
      </w:r>
    </w:p>
    <w:p w14:paraId="3EA00DDE" w14:textId="018FE703" w:rsidR="00EA3C58" w:rsidRPr="0088277E" w:rsidRDefault="00EA3C58" w:rsidP="00C745F1">
      <w:pPr>
        <w:pStyle w:val="Akapitzlist"/>
        <w:numPr>
          <w:ilvl w:val="0"/>
          <w:numId w:val="15"/>
        </w:numPr>
        <w:spacing w:after="160" w:line="259" w:lineRule="auto"/>
        <w:ind w:left="717"/>
        <w:contextualSpacing/>
      </w:pPr>
      <w:r>
        <w:t>n</w:t>
      </w:r>
      <w:r w:rsidRPr="00674525">
        <w:t>adzór administracyjny nad działaniami prowadzonymi w ramach</w:t>
      </w:r>
      <w:r w:rsidRPr="0088277E">
        <w:t xml:space="preserve"> międzynarodowych umów instytucjonalnych stanowiących podstawę mobilności; </w:t>
      </w:r>
    </w:p>
    <w:p w14:paraId="1D40CEA6" w14:textId="77777777" w:rsidR="00EA3C58" w:rsidRPr="00787A3E" w:rsidRDefault="00EA3C58" w:rsidP="00C745F1">
      <w:pPr>
        <w:pStyle w:val="Akapitzlist"/>
        <w:numPr>
          <w:ilvl w:val="0"/>
          <w:numId w:val="15"/>
        </w:numPr>
        <w:spacing w:after="160" w:line="259" w:lineRule="auto"/>
        <w:ind w:left="717"/>
        <w:contextualSpacing/>
      </w:pPr>
      <w:r w:rsidRPr="0088277E">
        <w:t xml:space="preserve">prowadzenie działań informacyjnych o możliwości finansowania mobilności zagranicznej pracowników; </w:t>
      </w:r>
    </w:p>
    <w:p w14:paraId="5A447757" w14:textId="77777777" w:rsidR="00EA3C58" w:rsidRPr="0088277E" w:rsidRDefault="00EA3C58" w:rsidP="00C745F1">
      <w:pPr>
        <w:pStyle w:val="Akapitzlist"/>
        <w:numPr>
          <w:ilvl w:val="0"/>
          <w:numId w:val="15"/>
        </w:numPr>
        <w:spacing w:after="160" w:line="259" w:lineRule="auto"/>
        <w:ind w:left="717"/>
        <w:contextualSpacing/>
      </w:pPr>
      <w:r w:rsidRPr="00C745F1">
        <w:rPr>
          <w:spacing w:val="-4"/>
        </w:rPr>
        <w:t>obsługa finansowa wyjazdów zagranicznych pracowników w celach naukowych, dydaktycznych,</w:t>
      </w:r>
      <w:r>
        <w:t xml:space="preserve"> szkoleniowych</w:t>
      </w:r>
      <w:r w:rsidRPr="0088277E">
        <w:t xml:space="preserve">; </w:t>
      </w:r>
    </w:p>
    <w:p w14:paraId="0FA337EC" w14:textId="77777777" w:rsidR="00EA3C58" w:rsidRPr="0088277E" w:rsidRDefault="00EA3C58" w:rsidP="00C745F1">
      <w:pPr>
        <w:pStyle w:val="Akapitzlist"/>
        <w:numPr>
          <w:ilvl w:val="0"/>
          <w:numId w:val="15"/>
        </w:numPr>
        <w:spacing w:after="160" w:line="259" w:lineRule="auto"/>
        <w:ind w:left="717"/>
        <w:contextualSpacing/>
      </w:pPr>
      <w:r w:rsidRPr="00C745F1">
        <w:rPr>
          <w:spacing w:val="-4"/>
        </w:rPr>
        <w:t>obsługa administracyjna spraw związanych z pobytem osób zaproszonych w ramach współpracy</w:t>
      </w:r>
      <w:r>
        <w:t xml:space="preserve"> </w:t>
      </w:r>
      <w:r w:rsidRPr="0088277E">
        <w:t>z zagranicz</w:t>
      </w:r>
      <w:r>
        <w:t>nymi instytucjami partnerskimi.</w:t>
      </w:r>
    </w:p>
    <w:p w14:paraId="70F44134" w14:textId="77777777" w:rsidR="00EA3C58" w:rsidRPr="0088277E" w:rsidRDefault="00EA3C58" w:rsidP="00E95BFF">
      <w:pPr>
        <w:pStyle w:val="nagwek3"/>
      </w:pPr>
      <w:bookmarkStart w:id="21" w:name="_Toc66431386"/>
      <w:r w:rsidRPr="0088277E">
        <w:t>2.2.1. Wyjazdy dyd</w:t>
      </w:r>
      <w:r>
        <w:t>aktyczne</w:t>
      </w:r>
      <w:bookmarkEnd w:id="21"/>
      <w:r>
        <w:t xml:space="preserve"> </w:t>
      </w:r>
    </w:p>
    <w:p w14:paraId="657668C4" w14:textId="029B12F6" w:rsidR="00EA3C58" w:rsidRPr="0088277E" w:rsidRDefault="00EA3C58" w:rsidP="006964F0">
      <w:pPr>
        <w:pStyle w:val="Akapitzlist"/>
        <w:numPr>
          <w:ilvl w:val="0"/>
          <w:numId w:val="18"/>
        </w:numPr>
        <w:spacing w:after="60"/>
        <w:ind w:left="340" w:hanging="340"/>
      </w:pPr>
      <w:r w:rsidRPr="0088277E">
        <w:t xml:space="preserve">Celem wyjazdu dydaktycznego finansowanego w ramach programu Erasmus+ dla nauczycieli </w:t>
      </w:r>
      <w:r w:rsidRPr="000A6086">
        <w:rPr>
          <w:spacing w:val="-4"/>
        </w:rPr>
        <w:t>akademickich na wszelkich etapach kariery zawodowej jest przeprowadzenie zajęć dydaktycznych</w:t>
      </w:r>
      <w:r w:rsidRPr="0088277E">
        <w:t xml:space="preserve"> dla studentów zagranicznej uczelni partnerskiej posiadającej Kartę Erasmusa dla Szkolnictwa Wyższego (ECHE), z którą podp</w:t>
      </w:r>
      <w:r>
        <w:t xml:space="preserve">isano umowę dwustronną zgodną </w:t>
      </w:r>
      <w:r w:rsidRPr="0088277E">
        <w:t>z wymogami programowymi.</w:t>
      </w:r>
    </w:p>
    <w:p w14:paraId="4CDC5B0C" w14:textId="16DCDAEE" w:rsidR="00615340" w:rsidRPr="00CA1EEC" w:rsidRDefault="00455903" w:rsidP="006964F0">
      <w:pPr>
        <w:pStyle w:val="Akapitzlist"/>
        <w:numPr>
          <w:ilvl w:val="0"/>
          <w:numId w:val="18"/>
        </w:numPr>
        <w:spacing w:after="60"/>
        <w:ind w:left="340" w:hanging="340"/>
      </w:pPr>
      <w:r w:rsidRPr="00CA1EEC">
        <w:t xml:space="preserve">Informacje dotyczące czasu trwania </w:t>
      </w:r>
      <w:r w:rsidR="00BE528A" w:rsidRPr="00CA1EEC">
        <w:t>oraz</w:t>
      </w:r>
      <w:r w:rsidRPr="00CA1EEC">
        <w:t xml:space="preserve"> wymiaru prowadzonych zajęć w ramach w</w:t>
      </w:r>
      <w:r w:rsidR="00EA3C58" w:rsidRPr="00CA1EEC">
        <w:t>yjazd</w:t>
      </w:r>
      <w:r w:rsidRPr="00CA1EEC">
        <w:t>ów</w:t>
      </w:r>
      <w:r w:rsidR="00EA3C58" w:rsidRPr="00CA1EEC">
        <w:t xml:space="preserve"> dydaktyczny</w:t>
      </w:r>
      <w:r w:rsidRPr="00CA1EEC">
        <w:t>ch są cyklicznie aktualizowane</w:t>
      </w:r>
      <w:r w:rsidR="00E306EC" w:rsidRPr="00CA1EEC">
        <w:t xml:space="preserve"> i</w:t>
      </w:r>
      <w:r w:rsidRPr="00CA1EEC">
        <w:t xml:space="preserve"> dostępne są na stronie </w:t>
      </w:r>
      <w:hyperlink r:id="rId10" w:history="1">
        <w:r w:rsidRPr="00CA1EEC">
          <w:rPr>
            <w:rStyle w:val="Hipercze"/>
            <w:color w:val="auto"/>
            <w:u w:val="none"/>
          </w:rPr>
          <w:t>www.erasmusplus.zut.edu.pl</w:t>
        </w:r>
      </w:hyperlink>
      <w:r w:rsidR="00E306EC" w:rsidRPr="00CA1EEC">
        <w:t>.</w:t>
      </w:r>
      <w:r w:rsidR="00EA3C58" w:rsidRPr="00CA1EEC">
        <w:t xml:space="preserve"> </w:t>
      </w:r>
    </w:p>
    <w:p w14:paraId="13A8E94B" w14:textId="77777777" w:rsidR="00E306EC" w:rsidRDefault="00EA3C58" w:rsidP="006964F0">
      <w:pPr>
        <w:pStyle w:val="Akapitzlist"/>
        <w:numPr>
          <w:ilvl w:val="0"/>
          <w:numId w:val="18"/>
        </w:numPr>
        <w:spacing w:after="60"/>
        <w:ind w:left="340" w:hanging="340"/>
      </w:pPr>
      <w:r>
        <w:t>Kandydaci składają stosowne wnioski wyjazdowe</w:t>
      </w:r>
      <w:r w:rsidRPr="0088277E">
        <w:t xml:space="preserve"> w Dziale Mobilności Międzynarod</w:t>
      </w:r>
      <w:r>
        <w:t>owej.</w:t>
      </w:r>
    </w:p>
    <w:p w14:paraId="0A28EC99" w14:textId="472D2E39" w:rsidR="00615340" w:rsidRPr="00CA1EEC" w:rsidRDefault="00E306EC" w:rsidP="006964F0">
      <w:pPr>
        <w:pStyle w:val="Akapitzlist"/>
        <w:numPr>
          <w:ilvl w:val="0"/>
          <w:numId w:val="18"/>
        </w:numPr>
        <w:spacing w:after="60"/>
        <w:ind w:left="340" w:hanging="340"/>
      </w:pPr>
      <w:r w:rsidRPr="00CA1EEC">
        <w:lastRenderedPageBreak/>
        <w:t>Zasady kwalifikacji na wyjazdy zatwierdzane są corocznie (zmiany wprowadzane</w:t>
      </w:r>
      <w:r w:rsidR="000670EE" w:rsidRPr="00CA1EEC">
        <w:t xml:space="preserve"> są</w:t>
      </w:r>
      <w:r w:rsidRPr="00CA1EEC">
        <w:t xml:space="preserve"> w razie potrzeby</w:t>
      </w:r>
      <w:r w:rsidR="000670EE" w:rsidRPr="00CA1EEC">
        <w:t>)</w:t>
      </w:r>
      <w:r w:rsidRPr="00CA1EEC">
        <w:t>, cyklicznie</w:t>
      </w:r>
      <w:r w:rsidR="000670EE" w:rsidRPr="00CA1EEC">
        <w:t xml:space="preserve"> i </w:t>
      </w:r>
      <w:r w:rsidRPr="00CA1EEC">
        <w:t>dostępne są na stronie www.erasmusplus.zut.edu.pl</w:t>
      </w:r>
      <w:r w:rsidR="000670EE" w:rsidRPr="00CA1EEC">
        <w:t>.</w:t>
      </w:r>
      <w:r w:rsidRPr="00CA1EEC">
        <w:t xml:space="preserve"> </w:t>
      </w:r>
    </w:p>
    <w:p w14:paraId="0A9E113B" w14:textId="31679F27" w:rsidR="00EA3C58" w:rsidRPr="00CA1EEC" w:rsidRDefault="00EA3C58" w:rsidP="00636889">
      <w:pPr>
        <w:pStyle w:val="Akapitzlist"/>
        <w:numPr>
          <w:ilvl w:val="0"/>
          <w:numId w:val="18"/>
        </w:numPr>
        <w:spacing w:after="60"/>
        <w:ind w:left="340" w:hanging="340"/>
      </w:pPr>
      <w:r w:rsidRPr="0088277E">
        <w:t>Osoby zakwalifikowane do wyjazdu otrzymują indywidualne wsparcie finansowe, którego wysokość uzależniona jest od kosztów utrzymania w poszczególnych grupach krajów</w:t>
      </w:r>
      <w:r>
        <w:t xml:space="preserve"> </w:t>
      </w:r>
      <w:r w:rsidR="00615340">
        <w:t>–</w:t>
      </w:r>
      <w:r>
        <w:t xml:space="preserve"> </w:t>
      </w:r>
      <w:r w:rsidRPr="00674525">
        <w:t xml:space="preserve">okres finansowania odpowiada okresowi przyjętemu przez Narodową Agencję Programu Erasmus+ </w:t>
      </w:r>
      <w:r w:rsidRPr="00CA1EEC">
        <w:t>przy naliczaniu dotacji dla uczelni</w:t>
      </w:r>
      <w:r w:rsidR="000670EE" w:rsidRPr="00CA1EEC">
        <w:t>, z tym że w przypadku większej liczby wniosków niż miejsc nie każda osoba zakwalifikowana otrzym</w:t>
      </w:r>
      <w:r w:rsidR="00FD7740" w:rsidRPr="00CA1EEC">
        <w:t>a</w:t>
      </w:r>
      <w:r w:rsidR="000670EE" w:rsidRPr="00CA1EEC">
        <w:t xml:space="preserve"> grant na wyjazd.</w:t>
      </w:r>
    </w:p>
    <w:p w14:paraId="17995D13" w14:textId="28F8F863" w:rsidR="00615340" w:rsidRDefault="00553C3A" w:rsidP="006964F0">
      <w:pPr>
        <w:pStyle w:val="Akapitzlist"/>
        <w:numPr>
          <w:ilvl w:val="0"/>
          <w:numId w:val="18"/>
        </w:numPr>
        <w:spacing w:after="60"/>
        <w:ind w:left="340" w:hanging="340"/>
      </w:pPr>
      <w:r w:rsidRPr="006C4ED9">
        <w:t>Wewnętrzna r</w:t>
      </w:r>
      <w:r w:rsidR="00EA3C58" w:rsidRPr="006C4ED9">
        <w:t xml:space="preserve">ekrutacja </w:t>
      </w:r>
      <w:r w:rsidR="00CA1EEC" w:rsidRPr="006C4ED9">
        <w:t xml:space="preserve">na </w:t>
      </w:r>
      <w:r w:rsidRPr="006C4ED9">
        <w:t>wyjaz</w:t>
      </w:r>
      <w:r w:rsidR="00CA1EEC" w:rsidRPr="006C4ED9">
        <w:t>dy</w:t>
      </w:r>
      <w:r w:rsidRPr="006C4ED9">
        <w:t xml:space="preserve"> </w:t>
      </w:r>
      <w:r w:rsidR="00CA1EEC" w:rsidRPr="006C4ED9">
        <w:t xml:space="preserve">nauczycieli akademickich </w:t>
      </w:r>
      <w:r w:rsidRPr="006C4ED9">
        <w:t xml:space="preserve">ZUT </w:t>
      </w:r>
      <w:r w:rsidR="00EA3C58" w:rsidRPr="0088277E">
        <w:t>prowadzona jest w sposób przejrzysty, sprawiedliwy oraz zgodny z zasadą równego traktowania wszystkich biorących w niej udz</w:t>
      </w:r>
      <w:r w:rsidR="00EA3C58">
        <w:t xml:space="preserve">iał kandydatów, co jest zgodne </w:t>
      </w:r>
      <w:r w:rsidR="00EA3C58" w:rsidRPr="0088277E">
        <w:t xml:space="preserve">z zasadami oraz wymogami zawartymi w </w:t>
      </w:r>
      <w:r w:rsidR="00EA3C58" w:rsidRPr="008B3755">
        <w:rPr>
          <w:i/>
        </w:rPr>
        <w:t>Kodeksie Postępowania przy rekrutacji pracowników naukowych</w:t>
      </w:r>
      <w:r w:rsidR="00EA3C58" w:rsidRPr="0088277E">
        <w:t>.</w:t>
      </w:r>
    </w:p>
    <w:p w14:paraId="6D07B8BB" w14:textId="650D9C69" w:rsidR="00EA3C58" w:rsidRPr="0088277E" w:rsidRDefault="00615340" w:rsidP="006964F0">
      <w:pPr>
        <w:pStyle w:val="Akapitzlist"/>
        <w:numPr>
          <w:ilvl w:val="0"/>
          <w:numId w:val="18"/>
        </w:numPr>
        <w:spacing w:after="60"/>
        <w:ind w:left="340" w:hanging="340"/>
      </w:pPr>
      <w:r>
        <w:t>Z</w:t>
      </w:r>
      <w:r w:rsidR="00EA3C58" w:rsidRPr="0088277E">
        <w:t>realizowanie wyjazdu dydaktycznego w ramach wspomnianego programu uwzględniane jest w</w:t>
      </w:r>
      <w:r>
        <w:t> </w:t>
      </w:r>
      <w:r w:rsidR="00EA3C58" w:rsidRPr="0088277E">
        <w:t>okresowej ocenie nauczyciela akademickiego.</w:t>
      </w:r>
    </w:p>
    <w:p w14:paraId="5C46D5E4" w14:textId="77777777" w:rsidR="00EA3C58" w:rsidRPr="0088277E" w:rsidRDefault="00EA3C58" w:rsidP="00636889">
      <w:pPr>
        <w:pStyle w:val="nagwek3"/>
      </w:pPr>
      <w:bookmarkStart w:id="22" w:name="_Toc66431387"/>
      <w:r w:rsidRPr="0088277E">
        <w:t>2.2.2. W</w:t>
      </w:r>
      <w:r>
        <w:t>yjazdy szkoleniowe</w:t>
      </w:r>
      <w:bookmarkEnd w:id="22"/>
      <w:r>
        <w:t xml:space="preserve"> </w:t>
      </w:r>
    </w:p>
    <w:p w14:paraId="5826BEBF" w14:textId="1437395E" w:rsidR="00906CEB" w:rsidRDefault="00EA3C58" w:rsidP="00636889">
      <w:pPr>
        <w:pStyle w:val="Akapitzlist"/>
        <w:numPr>
          <w:ilvl w:val="0"/>
          <w:numId w:val="19"/>
        </w:numPr>
        <w:spacing w:after="60"/>
        <w:ind w:left="340" w:hanging="340"/>
      </w:pPr>
      <w:r w:rsidRPr="00D909B7">
        <w:rPr>
          <w:spacing w:val="-4"/>
        </w:rPr>
        <w:t>W ramach programu Erasmus+ każdy pracownik Uczelni ma możliwość ubiegania się o zagraniczne</w:t>
      </w:r>
      <w:r w:rsidRPr="0088277E">
        <w:t xml:space="preserve"> wyjazdy szkoleniowe w formie kursów, seminariów, szkoleń, czy też innych form kształcenia, mających na celu podniesienie kompetencji zawodowych</w:t>
      </w:r>
      <w:r>
        <w:t xml:space="preserve"> </w:t>
      </w:r>
      <w:r w:rsidRPr="00674525">
        <w:t xml:space="preserve">kluczowych dla </w:t>
      </w:r>
      <w:r w:rsidRPr="00FD7740">
        <w:t>umiędzynar</w:t>
      </w:r>
      <w:r w:rsidR="00C83228">
        <w:t>a</w:t>
      </w:r>
      <w:r w:rsidRPr="00FD7740">
        <w:t>d</w:t>
      </w:r>
      <w:r w:rsidR="00C83228">
        <w:t>a</w:t>
      </w:r>
      <w:r w:rsidRPr="00FD7740">
        <w:t>wi</w:t>
      </w:r>
      <w:r w:rsidR="00FD7740" w:rsidRPr="00FD7740">
        <w:t>a</w:t>
      </w:r>
      <w:r w:rsidRPr="00FD7740">
        <w:t>nia</w:t>
      </w:r>
      <w:r w:rsidRPr="00674525">
        <w:t xml:space="preserve"> kształcenia i podnoszenia jego jakości</w:t>
      </w:r>
      <w:r w:rsidRPr="0088277E">
        <w:t xml:space="preserve">. </w:t>
      </w:r>
    </w:p>
    <w:p w14:paraId="248884B1" w14:textId="270CCB34" w:rsidR="00EA3C58" w:rsidRPr="0088277E" w:rsidRDefault="00906CEB" w:rsidP="006964F0">
      <w:pPr>
        <w:pStyle w:val="Akapitzlist"/>
        <w:numPr>
          <w:ilvl w:val="0"/>
          <w:numId w:val="19"/>
        </w:numPr>
        <w:spacing w:after="60"/>
        <w:ind w:left="340" w:hanging="340"/>
      </w:pPr>
      <w:r>
        <w:t>Z</w:t>
      </w:r>
      <w:r w:rsidRPr="0088277E">
        <w:t xml:space="preserve">agraniczne wyjazdy szkoleniowe </w:t>
      </w:r>
      <w:r>
        <w:t>m</w:t>
      </w:r>
      <w:r w:rsidR="00EA3C58" w:rsidRPr="0088277E">
        <w:t>ogą odbywać się do instytucji zlokalizowanej na terenie 27</w:t>
      </w:r>
      <w:r w:rsidR="00D909B7">
        <w:t> </w:t>
      </w:r>
      <w:r w:rsidR="00EA3C58" w:rsidRPr="0088277E">
        <w:t xml:space="preserve">krajów Unii Europejskiej, krajów Europejskiego Obszaru Gospodarczego (Islandii, Norwegii </w:t>
      </w:r>
      <w:r w:rsidR="00EA3C58" w:rsidRPr="00D909B7">
        <w:rPr>
          <w:spacing w:val="-4"/>
        </w:rPr>
        <w:t>lub Lichtensteinu) oraz Macedonii, Turcji i Serbii (jeśli instytucją jest uczelnia – musi ona posiadać</w:t>
      </w:r>
      <w:r w:rsidR="00EA3C58" w:rsidRPr="0088277E">
        <w:t xml:space="preserve"> Kartę Erasmusa dla Szkolnictwa Wyższego (ECHE)).  </w:t>
      </w:r>
    </w:p>
    <w:p w14:paraId="24572D41" w14:textId="70BAB924" w:rsidR="00EA3C58" w:rsidRPr="00D909B7" w:rsidRDefault="00EA3C58" w:rsidP="006964F0">
      <w:pPr>
        <w:pStyle w:val="Akapitzlist"/>
        <w:numPr>
          <w:ilvl w:val="0"/>
          <w:numId w:val="19"/>
        </w:numPr>
        <w:spacing w:after="60"/>
        <w:ind w:left="340" w:hanging="340"/>
      </w:pPr>
      <w:r w:rsidRPr="0088277E">
        <w:t>Wyjazd szkoleniowy organizowany jest w celu poszerzania wiedzy, doskonalenia umiejętności i</w:t>
      </w:r>
      <w:r w:rsidR="00403444">
        <w:t> </w:t>
      </w:r>
      <w:r w:rsidRPr="0088277E">
        <w:t>kwalifikacji zawodowych oraz wymiany doświadczeń w obszarach wspieranych programem</w:t>
      </w:r>
      <w:r>
        <w:t xml:space="preserve"> </w:t>
      </w:r>
      <w:r w:rsidRPr="00D909B7">
        <w:rPr>
          <w:spacing w:val="-4"/>
        </w:rPr>
        <w:t>(umiędzynar</w:t>
      </w:r>
      <w:r w:rsidR="00C83228">
        <w:rPr>
          <w:spacing w:val="-4"/>
        </w:rPr>
        <w:t>a</w:t>
      </w:r>
      <w:r w:rsidRPr="00D909B7">
        <w:rPr>
          <w:spacing w:val="-4"/>
        </w:rPr>
        <w:t>d</w:t>
      </w:r>
      <w:r w:rsidR="00C83228">
        <w:rPr>
          <w:spacing w:val="-4"/>
        </w:rPr>
        <w:t>a</w:t>
      </w:r>
      <w:r w:rsidRPr="00D909B7">
        <w:rPr>
          <w:spacing w:val="-4"/>
        </w:rPr>
        <w:t>wi</w:t>
      </w:r>
      <w:r w:rsidR="00C83228">
        <w:rPr>
          <w:spacing w:val="-4"/>
        </w:rPr>
        <w:t>an</w:t>
      </w:r>
      <w:r w:rsidRPr="00D909B7">
        <w:rPr>
          <w:spacing w:val="-4"/>
        </w:rPr>
        <w:t>ie kształcenia i podnoszenie jego jakości) . Udział w działaniach szkoleniowych</w:t>
      </w:r>
      <w:r w:rsidRPr="0088277E">
        <w:t xml:space="preserve"> pozwala na rozwój mobilności międzynarodowej, internacjonalizację kształcenia, tworze</w:t>
      </w:r>
      <w:r>
        <w:t xml:space="preserve">nie </w:t>
      </w:r>
      <w:r w:rsidRPr="00D909B7">
        <w:t>programów studiów opartych o nowoczesne standardy nauczania oraz efektywną modernizację Uczelni.</w:t>
      </w:r>
    </w:p>
    <w:p w14:paraId="22BBBE57" w14:textId="77777777" w:rsidR="00403444" w:rsidRDefault="00EA3C58" w:rsidP="006964F0">
      <w:pPr>
        <w:pStyle w:val="Akapitzlist"/>
        <w:numPr>
          <w:ilvl w:val="0"/>
          <w:numId w:val="19"/>
        </w:numPr>
        <w:spacing w:after="60"/>
        <w:ind w:left="340" w:hanging="340"/>
      </w:pPr>
      <w:r w:rsidRPr="0088277E">
        <w:t xml:space="preserve">Wyjazd </w:t>
      </w:r>
      <w:r>
        <w:t>szkoleniowy</w:t>
      </w:r>
      <w:r w:rsidRPr="0088277E">
        <w:t xml:space="preserve"> trwa od dwóch dni do maksymalnie dwóc</w:t>
      </w:r>
      <w:r>
        <w:t>h miesięcy.</w:t>
      </w:r>
    </w:p>
    <w:p w14:paraId="711428F8" w14:textId="77777777" w:rsidR="00403444" w:rsidRDefault="00EA3C58" w:rsidP="006964F0">
      <w:pPr>
        <w:pStyle w:val="Akapitzlist"/>
        <w:numPr>
          <w:ilvl w:val="0"/>
          <w:numId w:val="19"/>
        </w:numPr>
        <w:spacing w:after="60"/>
        <w:ind w:left="340" w:hanging="340"/>
      </w:pPr>
      <w:r>
        <w:t>Kandydaci składają stosowne wnioski wyjazdowe</w:t>
      </w:r>
      <w:r w:rsidRPr="0088277E">
        <w:t xml:space="preserve"> w Dziale Mobilności Międzynarod</w:t>
      </w:r>
      <w:r>
        <w:t xml:space="preserve">owej. </w:t>
      </w:r>
    </w:p>
    <w:p w14:paraId="3F6FDDDF" w14:textId="2F4A6BFA" w:rsidR="00EA3C58" w:rsidRPr="00CA1EEC" w:rsidRDefault="00EA3C58" w:rsidP="006964F0">
      <w:pPr>
        <w:pStyle w:val="Akapitzlist"/>
        <w:numPr>
          <w:ilvl w:val="0"/>
          <w:numId w:val="19"/>
        </w:numPr>
        <w:spacing w:after="60"/>
        <w:ind w:left="340" w:hanging="340"/>
      </w:pPr>
      <w:r w:rsidRPr="0088277E">
        <w:t>Osoby zakwalifikowane do wyjazdu otrzymują indywidualne wsparcie finansowe, którego wysokość uzależniona jest od kosztów utrzymania w poszczególnych grupach krajó</w:t>
      </w:r>
      <w:r>
        <w:t xml:space="preserve">w – </w:t>
      </w:r>
      <w:r w:rsidRPr="0042567F">
        <w:t xml:space="preserve">okres finansowania odpowiada okresowi przyjętemu przez Narodową Agencję Programu Erasmus+ </w:t>
      </w:r>
      <w:r w:rsidRPr="00CA1EEC">
        <w:t>przy naliczaniu dotacji dla uczelni</w:t>
      </w:r>
      <w:r w:rsidR="00C83228" w:rsidRPr="00CA1EEC">
        <w:t>, z tym że w przypadku większej liczby wniosków niż miejsc nie każda osoba zakwalifikowana otrzyma grant na wyjazd.</w:t>
      </w:r>
    </w:p>
    <w:p w14:paraId="6EFA7599" w14:textId="77777777" w:rsidR="00403444" w:rsidRDefault="00EA3C58" w:rsidP="006964F0">
      <w:pPr>
        <w:pStyle w:val="Akapitzlist"/>
        <w:numPr>
          <w:ilvl w:val="0"/>
          <w:numId w:val="19"/>
        </w:numPr>
        <w:spacing w:after="60"/>
        <w:ind w:left="340" w:hanging="340"/>
      </w:pPr>
      <w:r w:rsidRPr="0088277E">
        <w:t>Rekrutacja prowadzona jest w sposób przejrzysty, sprawiedliwy oraz zgodny z zasadą równego traktowania wszystkich biorących w niej udz</w:t>
      </w:r>
      <w:r>
        <w:t>iał kandydatów</w:t>
      </w:r>
      <w:r w:rsidRPr="0088277E">
        <w:t>.</w:t>
      </w:r>
      <w:r>
        <w:t xml:space="preserve"> </w:t>
      </w:r>
    </w:p>
    <w:p w14:paraId="419F83E3" w14:textId="197E613A" w:rsidR="00EA3C58" w:rsidRPr="0088277E" w:rsidRDefault="00EA3C58" w:rsidP="006964F0">
      <w:pPr>
        <w:pStyle w:val="Akapitzlist"/>
        <w:numPr>
          <w:ilvl w:val="0"/>
          <w:numId w:val="19"/>
        </w:numPr>
        <w:spacing w:after="60"/>
        <w:ind w:left="340" w:hanging="340"/>
      </w:pPr>
      <w:r>
        <w:t>Z</w:t>
      </w:r>
      <w:r w:rsidRPr="0088277E">
        <w:t xml:space="preserve">realizowanie wyjazdu </w:t>
      </w:r>
      <w:r>
        <w:t>szkoleniowego</w:t>
      </w:r>
      <w:r w:rsidRPr="0088277E">
        <w:t xml:space="preserve"> w ramach programu uwzględniane jest w okresowej ocenie nauczyciela akademickiego</w:t>
      </w:r>
      <w:r>
        <w:t xml:space="preserve">, w przypadku osób niebędących nauczycielami akademickimi uwzględnienie w ocenie ma charakter uznaniowy. </w:t>
      </w:r>
    </w:p>
    <w:p w14:paraId="74E5DB94" w14:textId="77777777" w:rsidR="00EA3C58" w:rsidRPr="0088277E" w:rsidRDefault="00EA3C58" w:rsidP="00636889">
      <w:pPr>
        <w:pStyle w:val="nagwek20"/>
        <w:keepNext/>
      </w:pPr>
      <w:bookmarkStart w:id="23" w:name="_Toc66431388"/>
      <w:bookmarkEnd w:id="18"/>
      <w:r w:rsidRPr="0088277E">
        <w:lastRenderedPageBreak/>
        <w:t>2.3. Dodatek za pon</w:t>
      </w:r>
      <w:r>
        <w:t>adprzeciętną aktywność naukową</w:t>
      </w:r>
      <w:bookmarkEnd w:id="23"/>
      <w:r>
        <w:t xml:space="preserve"> </w:t>
      </w:r>
    </w:p>
    <w:p w14:paraId="6F13881E" w14:textId="7946E651" w:rsidR="00403444" w:rsidRDefault="00EA3C58" w:rsidP="00636889">
      <w:pPr>
        <w:pStyle w:val="Akapitzlist"/>
        <w:keepNext/>
        <w:keepLines/>
        <w:numPr>
          <w:ilvl w:val="0"/>
          <w:numId w:val="20"/>
        </w:numPr>
        <w:spacing w:after="60"/>
        <w:ind w:left="340" w:hanging="340"/>
      </w:pPr>
      <w:r w:rsidRPr="0088277E">
        <w:t xml:space="preserve">W ZUT został wprowadzony system motywacyjny dla zatrudnionych </w:t>
      </w:r>
      <w:r w:rsidRPr="007C2E46">
        <w:t xml:space="preserve">w Uczelni nauczycieli </w:t>
      </w:r>
      <w:r w:rsidRPr="00896DA4">
        <w:rPr>
          <w:spacing w:val="-4"/>
        </w:rPr>
        <w:t>akademickich w postaci dodatku za ponadprzeciętną aktywność naukową. Zgodnie z</w:t>
      </w:r>
      <w:r w:rsidR="00CF2710" w:rsidRPr="00896DA4">
        <w:rPr>
          <w:spacing w:val="-4"/>
        </w:rPr>
        <w:t> </w:t>
      </w:r>
      <w:r w:rsidRPr="00896DA4">
        <w:rPr>
          <w:spacing w:val="-4"/>
        </w:rPr>
        <w:t>Regulaminem</w:t>
      </w:r>
      <w:r w:rsidRPr="007C2E46">
        <w:t xml:space="preserve"> wynagradzania pracowników ZUT dodatek do wynagrodzenia przyznawany</w:t>
      </w:r>
      <w:r w:rsidRPr="0088277E">
        <w:t xml:space="preserve"> jest </w:t>
      </w:r>
      <w:r w:rsidR="00CF2710">
        <w:t xml:space="preserve">– </w:t>
      </w:r>
      <w:r w:rsidRPr="0088277E">
        <w:t xml:space="preserve">na wniosek </w:t>
      </w:r>
      <w:r w:rsidRPr="00206331">
        <w:t>pracownika (dostępny w systemie panel.zut.edu.pl)</w:t>
      </w:r>
      <w:r w:rsidR="00CF2710" w:rsidRPr="00206331">
        <w:t xml:space="preserve"> –</w:t>
      </w:r>
      <w:r w:rsidRPr="00206331">
        <w:t xml:space="preserve"> jednorazowo za</w:t>
      </w:r>
      <w:r w:rsidR="00103386" w:rsidRPr="00206331">
        <w:t xml:space="preserve"> </w:t>
      </w:r>
      <w:r w:rsidRPr="00206331">
        <w:t>maksymalnie cztery osiągnięcia</w:t>
      </w:r>
      <w:r w:rsidR="00103386" w:rsidRPr="00206331">
        <w:t xml:space="preserve">, a </w:t>
      </w:r>
      <w:r w:rsidR="00C35695" w:rsidRPr="00206331">
        <w:t xml:space="preserve">od 2022 r. – za nie więcej niż 3 osiągnięcia </w:t>
      </w:r>
      <w:r w:rsidRPr="00206331">
        <w:t xml:space="preserve">w danym roku kalendarzowym, który </w:t>
      </w:r>
      <w:r w:rsidRPr="0088277E">
        <w:t>należy złożyć w</w:t>
      </w:r>
      <w:r>
        <w:t> </w:t>
      </w:r>
      <w:r w:rsidRPr="0088277E">
        <w:t>Dziale Nauki, nie później niż do 31 marca roku następujące</w:t>
      </w:r>
      <w:r>
        <w:t xml:space="preserve">go po uzyskaniu osiągnięcia. </w:t>
      </w:r>
    </w:p>
    <w:p w14:paraId="3125A5E4" w14:textId="28BCD3BB" w:rsidR="00EA3C58" w:rsidRPr="0088277E" w:rsidRDefault="00EA3C58" w:rsidP="00E51821">
      <w:pPr>
        <w:pStyle w:val="Akapitzlist"/>
        <w:keepNext/>
        <w:numPr>
          <w:ilvl w:val="0"/>
          <w:numId w:val="20"/>
        </w:numPr>
        <w:ind w:left="340" w:hanging="340"/>
      </w:pPr>
      <w:r w:rsidRPr="0088277E">
        <w:t>Pracownik, dla którego ZUT jest podstawowym miejscem pracy i który uzyskał osiągnięcia w</w:t>
      </w:r>
      <w:r>
        <w:t> </w:t>
      </w:r>
      <w:r w:rsidRPr="0088277E">
        <w:t xml:space="preserve">postaci: </w:t>
      </w:r>
    </w:p>
    <w:p w14:paraId="0C59EFAD" w14:textId="77777777" w:rsidR="00EA3C58" w:rsidRPr="004D0F26" w:rsidRDefault="00EA3C58" w:rsidP="000A6086">
      <w:pPr>
        <w:pStyle w:val="Akapitzlist"/>
        <w:numPr>
          <w:ilvl w:val="0"/>
          <w:numId w:val="21"/>
        </w:numPr>
        <w:spacing w:after="160"/>
        <w:contextualSpacing/>
      </w:pPr>
      <w:r w:rsidRPr="004D0F26">
        <w:rPr>
          <w:spacing w:val="-4"/>
        </w:rPr>
        <w:t>autorstwa lub współautorstwa artykułu naukowego opublikowanego w czasopiśmie naukowym</w:t>
      </w:r>
      <w:r w:rsidRPr="004D0F26">
        <w:t xml:space="preserve"> lub w recenzowanych materiałach z międzynarodowej konferencji naukowej, wpisującego się w dyscyplinę naukową wskazaną przez Uczelnię do ewaluacji, </w:t>
      </w:r>
    </w:p>
    <w:p w14:paraId="714C7D23" w14:textId="77777777" w:rsidR="00EA3C58" w:rsidRPr="004D0F26" w:rsidRDefault="00EA3C58" w:rsidP="000A6086">
      <w:pPr>
        <w:pStyle w:val="Akapitzlist"/>
        <w:numPr>
          <w:ilvl w:val="0"/>
          <w:numId w:val="21"/>
        </w:numPr>
        <w:ind w:left="680" w:hanging="340"/>
        <w:contextualSpacing/>
      </w:pPr>
      <w:r w:rsidRPr="004D0F26">
        <w:t xml:space="preserve">autorstwa lub współautorstwa monografii naukowej w dyscyplinie naukowej wskazanej przez ZUT do ewaluacji oraz redakcji i współredakcji naukowej takich monografii, </w:t>
      </w:r>
    </w:p>
    <w:p w14:paraId="303D838C" w14:textId="77777777" w:rsidR="0084590E" w:rsidRDefault="00EA3C58" w:rsidP="00403444">
      <w:pPr>
        <w:ind w:left="360"/>
      </w:pPr>
      <w:r w:rsidRPr="0088277E">
        <w:t xml:space="preserve">uzyskuje możliwość otrzymania dodatku, w wysokości ustalanej przez Rektora. </w:t>
      </w:r>
    </w:p>
    <w:p w14:paraId="1E6997E3" w14:textId="03DF7FFB" w:rsidR="00EA3C58" w:rsidRDefault="00EA3C58" w:rsidP="00E51821">
      <w:pPr>
        <w:pStyle w:val="Akapitzlist"/>
        <w:numPr>
          <w:ilvl w:val="0"/>
          <w:numId w:val="20"/>
        </w:numPr>
        <w:spacing w:before="60"/>
        <w:ind w:left="340" w:hanging="340"/>
      </w:pPr>
      <w:r w:rsidRPr="0088277E">
        <w:t>Celem wprowadzenia dodatku za ponadprzeciętną aktywność naukową jest utrzymanie rozwoju potencjału b</w:t>
      </w:r>
      <w:r>
        <w:t xml:space="preserve">adawczego pracowników Uczelni. </w:t>
      </w:r>
    </w:p>
    <w:p w14:paraId="683D3EA7" w14:textId="0A901F62" w:rsidR="00EA3C58" w:rsidRPr="00F7709A" w:rsidRDefault="00EA3C58" w:rsidP="00E17637">
      <w:pPr>
        <w:pStyle w:val="nagwek20"/>
      </w:pPr>
      <w:bookmarkStart w:id="24" w:name="_Toc66431389"/>
      <w:r w:rsidRPr="0088277E">
        <w:t>2.4. Jednostki organizacyjne ZUT wspiera</w:t>
      </w:r>
      <w:r>
        <w:t>jące pracowników w ich rozwoju</w:t>
      </w:r>
      <w:bookmarkEnd w:id="24"/>
      <w:r>
        <w:t xml:space="preserve"> </w:t>
      </w:r>
    </w:p>
    <w:p w14:paraId="109979B1" w14:textId="4BE4BDE1" w:rsidR="00EA3C58" w:rsidRPr="00F7709A" w:rsidRDefault="00EA3C58" w:rsidP="00E17637">
      <w:pPr>
        <w:pStyle w:val="nagwek3"/>
      </w:pPr>
      <w:bookmarkStart w:id="25" w:name="_Toc66431390"/>
      <w:r w:rsidRPr="00F7709A">
        <w:t xml:space="preserve">2.4.1. Regionalne Centrum Innowacji i </w:t>
      </w:r>
      <w:r>
        <w:t xml:space="preserve">Transferu Technologii </w:t>
      </w:r>
      <w:r w:rsidR="00357263">
        <w:t>–</w:t>
      </w:r>
      <w:r>
        <w:t xml:space="preserve"> RCIiTT</w:t>
      </w:r>
      <w:bookmarkEnd w:id="25"/>
      <w:r>
        <w:t xml:space="preserve"> </w:t>
      </w:r>
    </w:p>
    <w:p w14:paraId="6ADE39CA" w14:textId="50B41B0A" w:rsidR="00EA3C58" w:rsidRPr="0084590E" w:rsidRDefault="00EA3C58" w:rsidP="000A6086">
      <w:pPr>
        <w:pStyle w:val="Akapitzlist"/>
        <w:numPr>
          <w:ilvl w:val="0"/>
          <w:numId w:val="22"/>
        </w:numPr>
        <w:spacing w:after="60"/>
        <w:ind w:left="340" w:hanging="340"/>
        <w:rPr>
          <w:szCs w:val="24"/>
        </w:rPr>
      </w:pPr>
      <w:r w:rsidRPr="00103386">
        <w:rPr>
          <w:szCs w:val="24"/>
        </w:rPr>
        <w:t>Jedną z jednostek ogólnouczelnianych ZUT jest Regionalne Centrum Innowacji i Transferu Technologii,</w:t>
      </w:r>
      <w:r w:rsidRPr="0084590E">
        <w:rPr>
          <w:szCs w:val="24"/>
        </w:rPr>
        <w:t xml:space="preserve"> którego głównym celem jest wsparcie działalności gospodarczej środowiska akademickiego i pracowników Uczelni, komercjalizacja wyników badań oraz wsparcie przy pozyskiwaniu i rozliczaniu środków z funduszy zewnętrznych.</w:t>
      </w:r>
    </w:p>
    <w:p w14:paraId="6A5BE6F4" w14:textId="118CCF18" w:rsidR="00EA3C58" w:rsidRPr="004B350B" w:rsidRDefault="00EA3C58" w:rsidP="000A6086">
      <w:pPr>
        <w:pStyle w:val="Akapitzlist"/>
        <w:numPr>
          <w:ilvl w:val="0"/>
          <w:numId w:val="22"/>
        </w:numPr>
        <w:spacing w:after="60"/>
        <w:ind w:left="340" w:hanging="340"/>
        <w:rPr>
          <w:bCs w:val="0"/>
          <w:spacing w:val="-2"/>
          <w:szCs w:val="24"/>
        </w:rPr>
      </w:pPr>
      <w:r w:rsidRPr="004B350B">
        <w:rPr>
          <w:szCs w:val="24"/>
        </w:rPr>
        <w:t>W obszarze transferu technologii i rozwoju biznesu RCIiTT m.in. promuje ofertę badawczą i</w:t>
      </w:r>
      <w:r w:rsidR="000A6086">
        <w:rPr>
          <w:szCs w:val="24"/>
        </w:rPr>
        <w:t> </w:t>
      </w:r>
      <w:r w:rsidRPr="004B350B">
        <w:rPr>
          <w:szCs w:val="24"/>
        </w:rPr>
        <w:t xml:space="preserve">technologiczną ZUT dla inwestorów i przedsiębiorców, pośredniczy w sprzedaży rozwiązań </w:t>
      </w:r>
      <w:r w:rsidRPr="00D909B7">
        <w:rPr>
          <w:spacing w:val="-4"/>
          <w:szCs w:val="24"/>
        </w:rPr>
        <w:t xml:space="preserve">powstałych w Uczelni, doradza instytucjom i przedsiębiorcom zainteresowanym internacjonalizacją. </w:t>
      </w:r>
      <w:r w:rsidRPr="00D0496B">
        <w:rPr>
          <w:szCs w:val="24"/>
        </w:rPr>
        <w:t xml:space="preserve">W obszarze przedsiębiorczości akademickiej wspiera pracowników Uczelni w zakładaniu </w:t>
      </w:r>
      <w:r w:rsidRPr="00D0496B">
        <w:rPr>
          <w:spacing w:val="-6"/>
          <w:szCs w:val="24"/>
        </w:rPr>
        <w:t>i prowadzeniu działalności gospodarczej, jak również prowadzi działania informacyjno-promocyjne,</w:t>
      </w:r>
      <w:r w:rsidRPr="004B350B">
        <w:rPr>
          <w:spacing w:val="-2"/>
          <w:szCs w:val="24"/>
        </w:rPr>
        <w:t xml:space="preserve"> doradcze</w:t>
      </w:r>
      <w:r>
        <w:rPr>
          <w:spacing w:val="-2"/>
          <w:szCs w:val="24"/>
        </w:rPr>
        <w:t xml:space="preserve"> </w:t>
      </w:r>
      <w:r w:rsidRPr="004B350B">
        <w:rPr>
          <w:spacing w:val="-2"/>
          <w:szCs w:val="24"/>
        </w:rPr>
        <w:t xml:space="preserve">i szkoleniowe w tym zakresie. </w:t>
      </w:r>
    </w:p>
    <w:p w14:paraId="47E98B2A" w14:textId="174BCBAD" w:rsidR="00EA3C58" w:rsidRPr="006372E5" w:rsidRDefault="00EA3C58" w:rsidP="000A6086">
      <w:pPr>
        <w:pStyle w:val="Akapitzlist"/>
        <w:numPr>
          <w:ilvl w:val="0"/>
          <w:numId w:val="22"/>
        </w:numPr>
        <w:spacing w:after="60"/>
        <w:ind w:left="340" w:hanging="340"/>
        <w:rPr>
          <w:szCs w:val="24"/>
        </w:rPr>
      </w:pPr>
      <w:r w:rsidRPr="009963FB">
        <w:rPr>
          <w:szCs w:val="24"/>
        </w:rPr>
        <w:t>w strukturach RCIiTT funkcjonuje Regionalny Punkt Kontaktowy Programów Ramowych, który</w:t>
      </w:r>
      <w:r w:rsidRPr="004B350B">
        <w:rPr>
          <w:spacing w:val="-2"/>
          <w:szCs w:val="24"/>
        </w:rPr>
        <w:t xml:space="preserve"> </w:t>
      </w:r>
      <w:r w:rsidRPr="006C4ED9">
        <w:rPr>
          <w:szCs w:val="24"/>
        </w:rPr>
        <w:t>wspomaga uczestnictwo jednostek naukowych oraz przedsiębiorstw z</w:t>
      </w:r>
      <w:r w:rsidR="004D0F26" w:rsidRPr="006C4ED9">
        <w:rPr>
          <w:szCs w:val="24"/>
        </w:rPr>
        <w:t xml:space="preserve"> </w:t>
      </w:r>
      <w:r w:rsidRPr="006C4ED9">
        <w:rPr>
          <w:szCs w:val="24"/>
        </w:rPr>
        <w:t>województwa zachodniopomorskiego</w:t>
      </w:r>
      <w:r w:rsidRPr="000A6086">
        <w:rPr>
          <w:spacing w:val="-4"/>
          <w:szCs w:val="24"/>
        </w:rPr>
        <w:t xml:space="preserve"> w Programach Ramowych Unii Europejskiej w zakresie badań i innowacji.</w:t>
      </w:r>
      <w:r w:rsidRPr="004B350B">
        <w:rPr>
          <w:szCs w:val="24"/>
        </w:rPr>
        <w:t xml:space="preserve"> Zespół wspiera także prace ZUT w ramach wyróżnienia HR oraz działa w obszarze obsługi punktu EURAXESS.</w:t>
      </w:r>
    </w:p>
    <w:p w14:paraId="658CA54B" w14:textId="18F64705" w:rsidR="00EA3C58" w:rsidRPr="006A4E39" w:rsidRDefault="00EA3C58" w:rsidP="00E95BFF">
      <w:pPr>
        <w:pStyle w:val="nagwek3"/>
      </w:pPr>
      <w:bookmarkStart w:id="26" w:name="_Toc66431391"/>
      <w:r w:rsidRPr="006A4E39">
        <w:t>2.4.2. Dział</w:t>
      </w:r>
      <w:r w:rsidR="006372E5" w:rsidRPr="006A4E39">
        <w:t xml:space="preserve">y </w:t>
      </w:r>
      <w:r w:rsidRPr="006A4E39">
        <w:t>Projektów Naukowych i Projektów Strategicznych</w:t>
      </w:r>
      <w:bookmarkEnd w:id="26"/>
    </w:p>
    <w:p w14:paraId="52B03699" w14:textId="5F4B51B4" w:rsidR="006372E5" w:rsidRDefault="00EA3C58" w:rsidP="00E51821">
      <w:pPr>
        <w:pStyle w:val="Akapitzlist"/>
        <w:numPr>
          <w:ilvl w:val="0"/>
          <w:numId w:val="23"/>
        </w:numPr>
        <w:spacing w:after="60"/>
        <w:ind w:left="340" w:hanging="340"/>
      </w:pPr>
      <w:r w:rsidRPr="006A4E39">
        <w:t xml:space="preserve">W strukturze </w:t>
      </w:r>
      <w:r w:rsidR="00B47808" w:rsidRPr="006A4E39">
        <w:t xml:space="preserve">administracji centralnej </w:t>
      </w:r>
      <w:r w:rsidRPr="006A4E39">
        <w:t xml:space="preserve">ZUT Dział Projektów Naukowych oraz Dział Projektów </w:t>
      </w:r>
      <w:r w:rsidRPr="0088277E">
        <w:t>Strategicznych</w:t>
      </w:r>
      <w:r w:rsidR="00B47808">
        <w:t xml:space="preserve"> </w:t>
      </w:r>
      <w:r w:rsidRPr="0088277E">
        <w:t xml:space="preserve">zajmują się udzielaniem wsparcia oraz prowadzeniem nadzoru przy pozyskiwaniu i rozliczaniu środków finansowych na działalność naukową, badawczą oraz badawczo-rozwojową ze źródeł zewnętrznych. </w:t>
      </w:r>
    </w:p>
    <w:p w14:paraId="5FAE22AF" w14:textId="3B0F3D52" w:rsidR="00EA3C58" w:rsidRPr="0088277E" w:rsidRDefault="00EA3C58" w:rsidP="00E51821">
      <w:pPr>
        <w:pStyle w:val="Akapitzlist"/>
        <w:numPr>
          <w:ilvl w:val="0"/>
          <w:numId w:val="23"/>
        </w:numPr>
        <w:ind w:left="340" w:hanging="340"/>
      </w:pPr>
      <w:r w:rsidRPr="0088277E">
        <w:t xml:space="preserve">Do głównych zadań </w:t>
      </w:r>
      <w:r>
        <w:t xml:space="preserve">działów </w:t>
      </w:r>
      <w:r w:rsidRPr="0088277E">
        <w:t xml:space="preserve">należą: </w:t>
      </w:r>
    </w:p>
    <w:p w14:paraId="367577C1" w14:textId="77777777" w:rsidR="00EA3C58" w:rsidRPr="00F7709A" w:rsidRDefault="00EA3C58" w:rsidP="00E95BFF">
      <w:pPr>
        <w:pStyle w:val="Akapitzlist"/>
        <w:numPr>
          <w:ilvl w:val="0"/>
          <w:numId w:val="24"/>
        </w:numPr>
        <w:spacing w:after="160" w:line="259" w:lineRule="auto"/>
        <w:contextualSpacing/>
      </w:pPr>
      <w:r w:rsidRPr="00F7709A">
        <w:t xml:space="preserve">informowanie o ogłoszonych konkursach i </w:t>
      </w:r>
      <w:r>
        <w:t>monitoring składania wniosków;</w:t>
      </w:r>
      <w:r w:rsidRPr="00F7709A">
        <w:t xml:space="preserve"> </w:t>
      </w:r>
    </w:p>
    <w:p w14:paraId="537FFB55" w14:textId="77777777" w:rsidR="00EA3C58" w:rsidRPr="00F7709A" w:rsidRDefault="00EA3C58" w:rsidP="00E95BFF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informowanie o aktualnie obowiązujących procedurach</w:t>
      </w:r>
      <w:r w:rsidRPr="00F7709A">
        <w:t xml:space="preserve"> pozyskiw</w:t>
      </w:r>
      <w:r>
        <w:t xml:space="preserve">ania i rozliczania środków oraz </w:t>
      </w:r>
      <w:r w:rsidRPr="00F7709A">
        <w:t xml:space="preserve">przygotowywania niezbędnych dokumentów (wnioski, raporty); </w:t>
      </w:r>
    </w:p>
    <w:p w14:paraId="6FD9CC02" w14:textId="77777777" w:rsidR="00EA3C58" w:rsidRDefault="00EA3C58" w:rsidP="00E95BFF">
      <w:pPr>
        <w:pStyle w:val="Akapitzlist"/>
        <w:numPr>
          <w:ilvl w:val="0"/>
          <w:numId w:val="24"/>
        </w:numPr>
        <w:spacing w:after="160" w:line="259" w:lineRule="auto"/>
        <w:contextualSpacing/>
      </w:pPr>
      <w:r w:rsidRPr="00F7709A">
        <w:t xml:space="preserve">koordynowanie przygotowania i składania wniosku o dofinansowanie projektu; </w:t>
      </w:r>
    </w:p>
    <w:p w14:paraId="11746AA8" w14:textId="77777777" w:rsidR="00EA3C58" w:rsidRPr="00F7709A" w:rsidRDefault="00EA3C58" w:rsidP="00E95BFF">
      <w:pPr>
        <w:pStyle w:val="Akapitzlist"/>
        <w:numPr>
          <w:ilvl w:val="0"/>
          <w:numId w:val="24"/>
        </w:numPr>
        <w:spacing w:after="160" w:line="259" w:lineRule="auto"/>
        <w:contextualSpacing/>
      </w:pPr>
      <w:r w:rsidRPr="00F7709A">
        <w:lastRenderedPageBreak/>
        <w:t>rejestracja, sprawozdawczość i archiwiz</w:t>
      </w:r>
      <w:r>
        <w:t>owanie dokumentów</w:t>
      </w:r>
      <w:r w:rsidRPr="00F7709A">
        <w:t xml:space="preserve">; </w:t>
      </w:r>
    </w:p>
    <w:p w14:paraId="3A2C614F" w14:textId="77777777" w:rsidR="00EA3C58" w:rsidRPr="00F7709A" w:rsidRDefault="00EA3C58" w:rsidP="00E95BFF">
      <w:pPr>
        <w:pStyle w:val="Akapitzlist"/>
        <w:numPr>
          <w:ilvl w:val="0"/>
          <w:numId w:val="24"/>
        </w:numPr>
        <w:spacing w:after="160" w:line="259" w:lineRule="auto"/>
        <w:contextualSpacing/>
      </w:pPr>
      <w:r w:rsidRPr="00F7709A">
        <w:t xml:space="preserve">doradztwo w procesie realizacji </w:t>
      </w:r>
      <w:r>
        <w:t>projektu/</w:t>
      </w:r>
      <w:r w:rsidRPr="00F7709A">
        <w:t xml:space="preserve">przedsięwzięcia; </w:t>
      </w:r>
    </w:p>
    <w:p w14:paraId="539DE8F7" w14:textId="77777777" w:rsidR="00EA3C58" w:rsidRPr="00F7709A" w:rsidRDefault="00EA3C58" w:rsidP="00E95BFF">
      <w:pPr>
        <w:pStyle w:val="Akapitzlist"/>
        <w:numPr>
          <w:ilvl w:val="0"/>
          <w:numId w:val="24"/>
        </w:numPr>
        <w:spacing w:after="160" w:line="259" w:lineRule="auto"/>
        <w:contextualSpacing/>
      </w:pPr>
      <w:r w:rsidRPr="00F7709A">
        <w:t xml:space="preserve">nadzorowanie i opiniowanie zgodności wydatków projektu z wnioskiem i umową na jego realizację oraz prawidłowości raportów merytorycznych i finansowych; </w:t>
      </w:r>
    </w:p>
    <w:p w14:paraId="6BFF40B1" w14:textId="77777777" w:rsidR="00EA3C58" w:rsidRPr="00F7709A" w:rsidRDefault="00EA3C58" w:rsidP="00E95BFF">
      <w:pPr>
        <w:pStyle w:val="Akapitzlist"/>
        <w:numPr>
          <w:ilvl w:val="0"/>
          <w:numId w:val="24"/>
        </w:numPr>
        <w:spacing w:after="160" w:line="259" w:lineRule="auto"/>
        <w:contextualSpacing/>
      </w:pPr>
      <w:r w:rsidRPr="00F7709A">
        <w:t>współpraca z instytucją właściwą dla danego projektu</w:t>
      </w:r>
      <w:r>
        <w:t>/</w:t>
      </w:r>
      <w:r w:rsidRPr="00F7709A">
        <w:t xml:space="preserve">przedsięwzięcia; </w:t>
      </w:r>
    </w:p>
    <w:p w14:paraId="3A61B4E5" w14:textId="77777777" w:rsidR="00EA3C58" w:rsidRDefault="00EA3C58" w:rsidP="00E95BFF">
      <w:pPr>
        <w:pStyle w:val="Akapitzlist"/>
        <w:numPr>
          <w:ilvl w:val="0"/>
          <w:numId w:val="24"/>
        </w:numPr>
        <w:spacing w:after="160" w:line="259" w:lineRule="auto"/>
        <w:contextualSpacing/>
      </w:pPr>
      <w:r w:rsidRPr="00F7709A">
        <w:t>koordynowanie sporządzania planów i sprawozdań jednostek organizacyjnych Uczelni</w:t>
      </w:r>
    </w:p>
    <w:p w14:paraId="516592ED" w14:textId="3B7DA693" w:rsidR="00EA3C58" w:rsidRDefault="00EA3C58" w:rsidP="00045860">
      <w:pPr>
        <w:pStyle w:val="Akapitzlist"/>
        <w:numPr>
          <w:ilvl w:val="0"/>
          <w:numId w:val="24"/>
        </w:numPr>
        <w:spacing w:before="60"/>
        <w:ind w:left="714" w:hanging="357"/>
      </w:pPr>
      <w:r w:rsidRPr="007965F8">
        <w:t>prowadzenie rejestru umów konsorcjum</w:t>
      </w:r>
      <w:r>
        <w:t xml:space="preserve"> i porozumień</w:t>
      </w:r>
      <w:r w:rsidRPr="00F7709A">
        <w:t xml:space="preserve">. </w:t>
      </w:r>
    </w:p>
    <w:p w14:paraId="40C270DA" w14:textId="766D9A48" w:rsidR="00EA3C58" w:rsidRPr="0088277E" w:rsidRDefault="00EA3C58" w:rsidP="00D0496B">
      <w:pPr>
        <w:pStyle w:val="Akapitzlist"/>
        <w:keepNext/>
        <w:numPr>
          <w:ilvl w:val="0"/>
          <w:numId w:val="23"/>
        </w:numPr>
        <w:spacing w:before="60"/>
        <w:ind w:left="340" w:hanging="340"/>
      </w:pPr>
      <w:r w:rsidRPr="00EC61C2">
        <w:rPr>
          <w:spacing w:val="-4"/>
        </w:rPr>
        <w:t>Dział Projektów Naukowych udziela pomocy przy projektach finansowanych z funduszy krajowych</w:t>
      </w:r>
      <w:r w:rsidR="007C15EC" w:rsidRPr="00EC61C2">
        <w:rPr>
          <w:spacing w:val="-4"/>
        </w:rPr>
        <w:t>,</w:t>
      </w:r>
      <w:r w:rsidRPr="0088277E">
        <w:t xml:space="preserve"> m.in.: </w:t>
      </w:r>
    </w:p>
    <w:p w14:paraId="7E704477" w14:textId="16C937A5" w:rsidR="00EA3C58" w:rsidRPr="00F7709A" w:rsidRDefault="00EA3C58" w:rsidP="00E95BFF">
      <w:pPr>
        <w:pStyle w:val="Akapitzlist"/>
        <w:numPr>
          <w:ilvl w:val="0"/>
          <w:numId w:val="25"/>
        </w:numPr>
        <w:spacing w:after="160" w:line="259" w:lineRule="auto"/>
        <w:contextualSpacing/>
      </w:pPr>
      <w:r w:rsidRPr="00F7709A">
        <w:t>Narodowe</w:t>
      </w:r>
      <w:r w:rsidR="00F03331">
        <w:t>go</w:t>
      </w:r>
      <w:r w:rsidRPr="00F7709A">
        <w:t xml:space="preserve"> Centrum Nauki (NCN)</w:t>
      </w:r>
      <w:r w:rsidR="007C15EC">
        <w:t>,</w:t>
      </w:r>
    </w:p>
    <w:p w14:paraId="33FF914D" w14:textId="008901E7" w:rsidR="00EA3C58" w:rsidRPr="00F7709A" w:rsidRDefault="00EA3C58" w:rsidP="00E95BFF">
      <w:pPr>
        <w:pStyle w:val="Akapitzlist"/>
        <w:numPr>
          <w:ilvl w:val="0"/>
          <w:numId w:val="25"/>
        </w:numPr>
        <w:spacing w:after="160" w:line="259" w:lineRule="auto"/>
        <w:contextualSpacing/>
      </w:pPr>
      <w:r w:rsidRPr="00F7709A">
        <w:t>Narodowe</w:t>
      </w:r>
      <w:r w:rsidR="00F03331">
        <w:t>go</w:t>
      </w:r>
      <w:r w:rsidRPr="00F7709A">
        <w:t xml:space="preserve"> Centrum Badań i Rozwoju (NCBiR);</w:t>
      </w:r>
    </w:p>
    <w:p w14:paraId="6E760B6A" w14:textId="4E796EB4" w:rsidR="00EA3C58" w:rsidRPr="00EE21BD" w:rsidRDefault="00EA3C58" w:rsidP="00E95BFF">
      <w:pPr>
        <w:pStyle w:val="Akapitzlist"/>
        <w:numPr>
          <w:ilvl w:val="0"/>
          <w:numId w:val="25"/>
        </w:numPr>
        <w:spacing w:after="160" w:line="259" w:lineRule="auto"/>
        <w:contextualSpacing/>
      </w:pPr>
      <w:r w:rsidRPr="00EE21BD">
        <w:t>Ministerstw</w:t>
      </w:r>
      <w:r w:rsidR="00F03331">
        <w:t>a</w:t>
      </w:r>
      <w:r w:rsidRPr="00EE21BD">
        <w:t xml:space="preserve"> </w:t>
      </w:r>
      <w:r w:rsidR="00EE21BD" w:rsidRPr="00EE21BD">
        <w:t xml:space="preserve">Edukacji i </w:t>
      </w:r>
      <w:r w:rsidRPr="00EE21BD">
        <w:t>Nauki (M</w:t>
      </w:r>
      <w:r w:rsidR="00EE21BD" w:rsidRPr="00EE21BD">
        <w:t>E</w:t>
      </w:r>
      <w:r w:rsidRPr="00EE21BD">
        <w:t>i</w:t>
      </w:r>
      <w:r w:rsidR="00EE21BD" w:rsidRPr="00EE21BD">
        <w:t>N</w:t>
      </w:r>
      <w:r w:rsidRPr="00EE21BD">
        <w:t>)</w:t>
      </w:r>
      <w:r w:rsidR="007C15EC" w:rsidRPr="00EE21BD">
        <w:t>,</w:t>
      </w:r>
    </w:p>
    <w:p w14:paraId="75FD2419" w14:textId="3A25BEB5" w:rsidR="007C15EC" w:rsidRDefault="00EA3C58" w:rsidP="00E95BFF">
      <w:pPr>
        <w:pStyle w:val="Akapitzlist"/>
        <w:numPr>
          <w:ilvl w:val="0"/>
          <w:numId w:val="25"/>
        </w:numPr>
        <w:spacing w:after="160" w:line="259" w:lineRule="auto"/>
        <w:contextualSpacing/>
      </w:pPr>
      <w:r w:rsidRPr="00F7709A">
        <w:t>Ministerstw</w:t>
      </w:r>
      <w:r w:rsidR="00F03331">
        <w:t>a</w:t>
      </w:r>
      <w:r w:rsidRPr="00F7709A">
        <w:t xml:space="preserve"> Rolnictwa i Rozwoju Wsi (M</w:t>
      </w:r>
      <w:r w:rsidR="000E228C">
        <w:t>R</w:t>
      </w:r>
      <w:r w:rsidRPr="00F7709A">
        <w:t>iRW)</w:t>
      </w:r>
      <w:r w:rsidR="007C15EC">
        <w:t>,</w:t>
      </w:r>
    </w:p>
    <w:p w14:paraId="52538835" w14:textId="2DA705FB" w:rsidR="00EA3C58" w:rsidRPr="00EE21BD" w:rsidRDefault="00EA3C58" w:rsidP="00045860">
      <w:pPr>
        <w:pStyle w:val="Akapitzlist"/>
        <w:numPr>
          <w:ilvl w:val="0"/>
          <w:numId w:val="25"/>
        </w:numPr>
        <w:spacing w:line="259" w:lineRule="auto"/>
        <w:contextualSpacing/>
      </w:pPr>
      <w:r w:rsidRPr="00EE21BD">
        <w:t>Ministerstw</w:t>
      </w:r>
      <w:r w:rsidR="00F03331">
        <w:t>a</w:t>
      </w:r>
      <w:r w:rsidRPr="00EE21BD">
        <w:t xml:space="preserve"> </w:t>
      </w:r>
      <w:r w:rsidR="00EE21BD" w:rsidRPr="00EE21BD">
        <w:t xml:space="preserve">Kultury, </w:t>
      </w:r>
      <w:r w:rsidRPr="00EE21BD">
        <w:t xml:space="preserve">Dziedzictwa Narodowego i </w:t>
      </w:r>
      <w:r w:rsidR="00EE21BD" w:rsidRPr="00EE21BD">
        <w:t>Sportu</w:t>
      </w:r>
      <w:r w:rsidR="00EE21BD">
        <w:t xml:space="preserve"> (MKDNiS</w:t>
      </w:r>
      <w:r w:rsidRPr="00EE21BD">
        <w:t>.</w:t>
      </w:r>
    </w:p>
    <w:p w14:paraId="699D40CD" w14:textId="77777777" w:rsidR="00EA3C58" w:rsidRDefault="00EA3C58" w:rsidP="00E51821">
      <w:pPr>
        <w:pStyle w:val="Akapitzlist"/>
        <w:numPr>
          <w:ilvl w:val="0"/>
          <w:numId w:val="23"/>
        </w:numPr>
        <w:spacing w:before="60"/>
        <w:ind w:left="340" w:hanging="340"/>
      </w:pPr>
      <w:r w:rsidRPr="0088277E">
        <w:t xml:space="preserve">Dział Projektów Strategicznych </w:t>
      </w:r>
      <w:r>
        <w:t>zajmuje się wsparciem oraz prowadzeniem nadzoru nad</w:t>
      </w:r>
      <w:r w:rsidRPr="0088277E">
        <w:t xml:space="preserve"> projekt</w:t>
      </w:r>
      <w:r>
        <w:t>ami finansowanymi</w:t>
      </w:r>
      <w:r w:rsidRPr="0088277E">
        <w:t xml:space="preserve"> z funduszy s</w:t>
      </w:r>
      <w:r>
        <w:t xml:space="preserve">trukturalnych Unii Europejskiej, do których należą </w:t>
      </w:r>
      <w:r w:rsidRPr="0088277E">
        <w:t>m.in.</w:t>
      </w:r>
      <w:r>
        <w:t>:</w:t>
      </w:r>
    </w:p>
    <w:p w14:paraId="50CBF9B9" w14:textId="77777777" w:rsidR="00EA3C58" w:rsidRDefault="00EA3C58" w:rsidP="00E95BFF">
      <w:pPr>
        <w:pStyle w:val="Akapitzlist"/>
        <w:numPr>
          <w:ilvl w:val="0"/>
          <w:numId w:val="26"/>
        </w:numPr>
        <w:spacing w:after="160" w:line="259" w:lineRule="auto"/>
        <w:contextualSpacing/>
      </w:pPr>
      <w:r w:rsidRPr="00FF0FA5">
        <w:t xml:space="preserve">Europejski Fundusz Rozwoju Regionalnego, </w:t>
      </w:r>
    </w:p>
    <w:p w14:paraId="3C3814B6" w14:textId="77777777" w:rsidR="00EA3C58" w:rsidRDefault="00EA3C58" w:rsidP="00E95BFF">
      <w:pPr>
        <w:pStyle w:val="Akapitzlist"/>
        <w:numPr>
          <w:ilvl w:val="0"/>
          <w:numId w:val="26"/>
        </w:numPr>
        <w:spacing w:after="160" w:line="259" w:lineRule="auto"/>
        <w:contextualSpacing/>
      </w:pPr>
      <w:r w:rsidRPr="00FF0FA5">
        <w:t xml:space="preserve">Europejski Fundusz Społeczny,  </w:t>
      </w:r>
    </w:p>
    <w:p w14:paraId="4E7F502D" w14:textId="77777777" w:rsidR="00EA3C58" w:rsidRDefault="00EA3C58" w:rsidP="00E95BFF">
      <w:pPr>
        <w:pStyle w:val="Akapitzlist"/>
        <w:numPr>
          <w:ilvl w:val="0"/>
          <w:numId w:val="26"/>
        </w:numPr>
        <w:spacing w:after="160" w:line="259" w:lineRule="auto"/>
        <w:contextualSpacing/>
      </w:pPr>
      <w:r w:rsidRPr="00FF0FA5">
        <w:t xml:space="preserve">Fundusz Spójności, </w:t>
      </w:r>
    </w:p>
    <w:p w14:paraId="0533A1D2" w14:textId="77777777" w:rsidR="00EA3C58" w:rsidRDefault="00EA3C58" w:rsidP="00E95BFF">
      <w:pPr>
        <w:pStyle w:val="Akapitzlist"/>
        <w:numPr>
          <w:ilvl w:val="0"/>
          <w:numId w:val="26"/>
        </w:numPr>
        <w:spacing w:after="160" w:line="259" w:lineRule="auto"/>
        <w:contextualSpacing/>
      </w:pPr>
      <w:r w:rsidRPr="00FF0FA5">
        <w:t xml:space="preserve">Europejski Fundusz Rolny, </w:t>
      </w:r>
    </w:p>
    <w:p w14:paraId="28D3B61B" w14:textId="77777777" w:rsidR="00EA3C58" w:rsidRDefault="00EA3C58" w:rsidP="00E95BFF">
      <w:pPr>
        <w:pStyle w:val="Akapitzlist"/>
        <w:numPr>
          <w:ilvl w:val="0"/>
          <w:numId w:val="26"/>
        </w:numPr>
        <w:spacing w:line="259" w:lineRule="auto"/>
        <w:contextualSpacing/>
      </w:pPr>
      <w:r w:rsidRPr="00FF0FA5">
        <w:t xml:space="preserve">Europejski Fundusz Morski </w:t>
      </w:r>
      <w:r>
        <w:t xml:space="preserve">i </w:t>
      </w:r>
      <w:r w:rsidRPr="00FF0FA5">
        <w:t xml:space="preserve">Rybacki, </w:t>
      </w:r>
    </w:p>
    <w:p w14:paraId="5CFDE1DB" w14:textId="2B3E229A" w:rsidR="00EA3C58" w:rsidRPr="007C2E46" w:rsidRDefault="00EA3C58" w:rsidP="007C15EC">
      <w:pPr>
        <w:ind w:left="340"/>
      </w:pPr>
      <w:r w:rsidRPr="007155B0">
        <w:t xml:space="preserve">z których środki rozdzielone są na poziomach krajowych i regionalnych. </w:t>
      </w:r>
      <w:r w:rsidR="007C15EC" w:rsidRPr="007155B0">
        <w:t xml:space="preserve">Zakres działalności </w:t>
      </w:r>
      <w:r>
        <w:t xml:space="preserve">Działu </w:t>
      </w:r>
      <w:r w:rsidRPr="007C2E46">
        <w:t>poszerzony jest o działalność wdrożeniową, inwestycyjną oraz edukacyjną</w:t>
      </w:r>
      <w:r>
        <w:t xml:space="preserve"> finansowaną z</w:t>
      </w:r>
      <w:r w:rsidR="007155B0">
        <w:t> </w:t>
      </w:r>
      <w:r>
        <w:t>ww. funduszy</w:t>
      </w:r>
      <w:r w:rsidRPr="007C2E46">
        <w:t xml:space="preserve">. </w:t>
      </w:r>
    </w:p>
    <w:p w14:paraId="12C46B86" w14:textId="4566CA03" w:rsidR="00EA3C58" w:rsidRPr="0088277E" w:rsidRDefault="00EA3C58" w:rsidP="00E51821">
      <w:pPr>
        <w:pStyle w:val="Akapitzlist"/>
        <w:numPr>
          <w:ilvl w:val="0"/>
          <w:numId w:val="23"/>
        </w:numPr>
        <w:spacing w:before="60"/>
        <w:ind w:left="340" w:hanging="340"/>
      </w:pPr>
      <w:r w:rsidRPr="007C2E46">
        <w:t xml:space="preserve">W celu ujednolicenia i usprawnienia działań przy ubieganiu się przez pracowników o środki finansowe oraz przy realizacji i rozliczaniu projektów finansowanych ze źródeł zewnętrznych </w:t>
      </w:r>
      <w:r w:rsidRPr="00F03331">
        <w:t xml:space="preserve">zostały wprowadzone </w:t>
      </w:r>
      <w:r w:rsidR="007C15EC" w:rsidRPr="00F03331">
        <w:t>z</w:t>
      </w:r>
      <w:r w:rsidRPr="00F03331">
        <w:t>arządzeniem</w:t>
      </w:r>
      <w:r w:rsidR="007C15EC" w:rsidRPr="00F03331">
        <w:t xml:space="preserve"> nr 35 </w:t>
      </w:r>
      <w:r w:rsidRPr="00F03331">
        <w:t xml:space="preserve">Rektora </w:t>
      </w:r>
      <w:r w:rsidR="00224A48" w:rsidRPr="00F03331">
        <w:t xml:space="preserve">ZUT z dnia </w:t>
      </w:r>
      <w:r w:rsidR="00F03331" w:rsidRPr="00F03331">
        <w:t xml:space="preserve">22 maja </w:t>
      </w:r>
      <w:r w:rsidR="00224A48" w:rsidRPr="00F03331">
        <w:t xml:space="preserve">2018 r. </w:t>
      </w:r>
      <w:r w:rsidRPr="00F03331">
        <w:t>odpowiednie</w:t>
      </w:r>
      <w:r w:rsidRPr="007C2E46">
        <w:t xml:space="preserve"> procedury postępowania. </w:t>
      </w:r>
    </w:p>
    <w:p w14:paraId="145DB266" w14:textId="77777777" w:rsidR="00EA3C58" w:rsidRPr="00F7709A" w:rsidRDefault="00EA3C58" w:rsidP="00E95BFF">
      <w:pPr>
        <w:pStyle w:val="nagwek20"/>
      </w:pPr>
      <w:bookmarkStart w:id="27" w:name="_Toc66431392"/>
      <w:r>
        <w:t>2.5. Mentoring</w:t>
      </w:r>
      <w:bookmarkEnd w:id="27"/>
    </w:p>
    <w:p w14:paraId="6991A7CD" w14:textId="21277881" w:rsidR="00EA3C58" w:rsidRPr="0088277E" w:rsidRDefault="00EA3C58" w:rsidP="00E51821">
      <w:pPr>
        <w:pStyle w:val="Akapitzlist"/>
        <w:numPr>
          <w:ilvl w:val="0"/>
          <w:numId w:val="27"/>
        </w:numPr>
        <w:spacing w:after="60"/>
        <w:ind w:left="340" w:hanging="340"/>
      </w:pPr>
      <w:r w:rsidRPr="0088277E">
        <w:t>Mentoring jest efektywną formą szkoleniową i adaptacyjną nowego pracownika Uczelni, polegającą na stworzeniu długoterminowej relacj</w:t>
      </w:r>
      <w:r>
        <w:t xml:space="preserve">i pomiędzy osobą doświadczoną </w:t>
      </w:r>
      <w:r w:rsidRPr="0088277E">
        <w:t>i biegłą w danej dziedzinie a osobą o niższych kwalifikacjach lub mniejszym stażu pracy. Mentoring ma przynosić korzyści przede wszystkim osobie szkolonej, dlatego jego długofalowy plan opiera się na nauce i</w:t>
      </w:r>
      <w:r w:rsidR="00991A59">
        <w:t> </w:t>
      </w:r>
      <w:r w:rsidRPr="0088277E">
        <w:t xml:space="preserve">rozwoju podopiecznego w sferze kariery zawodowej. </w:t>
      </w:r>
    </w:p>
    <w:p w14:paraId="13DF5EE2" w14:textId="36BB7493" w:rsidR="00EA3C58" w:rsidRPr="0088277E" w:rsidRDefault="00EA3C58" w:rsidP="00E51821">
      <w:pPr>
        <w:pStyle w:val="Akapitzlist"/>
        <w:numPr>
          <w:ilvl w:val="0"/>
          <w:numId w:val="27"/>
        </w:numPr>
        <w:spacing w:after="60"/>
        <w:ind w:left="340" w:hanging="340"/>
      </w:pPr>
      <w:r w:rsidRPr="0088277E">
        <w:t>Mentor odpowiedzialny jest za sprawowanie opieki nad osobą szkoloną podczas realizacji jej ścieżki kariery oraz rozwoju kompetencji zawodowych. Aby spełnić zamierzone cele, mentor powinien wykazywać się odpowiednimi umiejętnościami interpersonalnymi, aby w prawidłowy sposób określić słabe i mocne strony osoby szkolonej, rozwinąć w niej wewnętrzną motywację do pełnego wykorzystania własnego potencjału, wspierać w podejmowanych wyzwaniach i</w:t>
      </w:r>
      <w:r w:rsidR="00771133">
        <w:t> </w:t>
      </w:r>
      <w:r w:rsidRPr="0088277E">
        <w:t>zbudować solidne podłoże samoświadomości poprzez ciągł</w:t>
      </w:r>
      <w:r w:rsidR="00482B4A">
        <w:t xml:space="preserve">e uzyskiwanie </w:t>
      </w:r>
      <w:r>
        <w:t>informacji zwrotnej.</w:t>
      </w:r>
    </w:p>
    <w:p w14:paraId="3E94C903" w14:textId="5B02F4C8" w:rsidR="00224A48" w:rsidRDefault="00224A48" w:rsidP="00E51821">
      <w:pPr>
        <w:pStyle w:val="Akapitzlist"/>
        <w:numPr>
          <w:ilvl w:val="0"/>
          <w:numId w:val="27"/>
        </w:numPr>
        <w:spacing w:after="60"/>
        <w:ind w:left="340" w:hanging="340"/>
      </w:pPr>
      <w:r w:rsidRPr="00DC6CA1">
        <w:rPr>
          <w:spacing w:val="-4"/>
        </w:rPr>
        <w:t>Opiekun powinien charakteryzować się umiejętnościami pozwalającymi na nadzór wykonywanych</w:t>
      </w:r>
      <w:r w:rsidRPr="0088277E">
        <w:t xml:space="preserve"> prac i działań przez osobę doszkalaną, dysponować wiedzą, zaangażowaniem, ale przede wszystkim czasem, dzięki którym będzie mógł zaoferować poczatkującym odpowiednie wparcie, monitorowanie osiąganych postępów oraz ich szczegółową ocenę.</w:t>
      </w:r>
    </w:p>
    <w:p w14:paraId="07D52254" w14:textId="63BF7720" w:rsidR="00224A48" w:rsidRDefault="00DC6CA1" w:rsidP="00E51821">
      <w:pPr>
        <w:pStyle w:val="Akapitzlist"/>
        <w:numPr>
          <w:ilvl w:val="0"/>
          <w:numId w:val="27"/>
        </w:numPr>
        <w:spacing w:after="60"/>
        <w:ind w:left="340" w:hanging="340"/>
      </w:pPr>
      <w:r>
        <w:lastRenderedPageBreak/>
        <w:t>W</w:t>
      </w:r>
      <w:r w:rsidR="00EA3C58" w:rsidRPr="0088277E">
        <w:t>ymogi związane ze sprawowaniem opieki naukowej poprzez osobę, do której mogą zwracać się rozpoczynający karierę badawczą naukowcy w kwestiach dotyczących wykonywania obowiązków zawodowych</w:t>
      </w:r>
      <w:r w:rsidR="004F3264">
        <w:t>,</w:t>
      </w:r>
      <w:r>
        <w:t xml:space="preserve"> </w:t>
      </w:r>
      <w:r w:rsidRPr="0088277E">
        <w:t>określa Europejska Karta Naukowca</w:t>
      </w:r>
      <w:r w:rsidR="00EA3C58" w:rsidRPr="0088277E">
        <w:t xml:space="preserve">. </w:t>
      </w:r>
    </w:p>
    <w:p w14:paraId="2FEC4914" w14:textId="77777777" w:rsidR="00EA3C58" w:rsidRPr="00364F35" w:rsidRDefault="00EA3C58" w:rsidP="00E95BFF">
      <w:pPr>
        <w:pStyle w:val="Nagwek1"/>
      </w:pPr>
      <w:bookmarkStart w:id="28" w:name="_Toc66431393"/>
      <w:r w:rsidRPr="00364F35">
        <w:t>Dział 3. Ocena okresowa pracowników</w:t>
      </w:r>
      <w:bookmarkEnd w:id="28"/>
      <w:r w:rsidRPr="00364F35">
        <w:t xml:space="preserve"> </w:t>
      </w:r>
    </w:p>
    <w:p w14:paraId="16BC5232" w14:textId="333DFFEC" w:rsidR="00EA3C58" w:rsidRPr="00443D73" w:rsidRDefault="00EA3C58" w:rsidP="00E51821">
      <w:pPr>
        <w:pStyle w:val="Akapitzlist"/>
        <w:numPr>
          <w:ilvl w:val="0"/>
          <w:numId w:val="28"/>
        </w:numPr>
        <w:spacing w:after="60"/>
        <w:ind w:left="340" w:hanging="340"/>
      </w:pPr>
      <w:r w:rsidRPr="00443D73">
        <w:t>Celem przeprowadzania oceny jest umożliwienie prowadzenia racjonalnej polityki kadrowej oraz motywowania pracowników do efektywnej pracy. Wynik oceny stanowi podstawę wszystkich decyzji personalnych</w:t>
      </w:r>
      <w:r w:rsidR="00D0496B">
        <w:t>,</w:t>
      </w:r>
      <w:r w:rsidRPr="00443D73">
        <w:t xml:space="preserve"> związanych z wynagradzaniem, zmianą stanowiska pracy, podnoszeniem kwalifikacji (kierowanie na szkolenia), nagradzaniem lub rozwiązaniem stosunku pracy. </w:t>
      </w:r>
    </w:p>
    <w:p w14:paraId="51A9F80B" w14:textId="586F7E72" w:rsidR="00EA3C58" w:rsidRPr="00443D73" w:rsidRDefault="00EA3C58" w:rsidP="00E51821">
      <w:pPr>
        <w:pStyle w:val="Akapitzlist"/>
        <w:numPr>
          <w:ilvl w:val="0"/>
          <w:numId w:val="28"/>
        </w:numPr>
        <w:spacing w:after="60"/>
        <w:ind w:left="340" w:hanging="340"/>
      </w:pPr>
      <w:r w:rsidRPr="00D0496B">
        <w:rPr>
          <w:spacing w:val="-4"/>
        </w:rPr>
        <w:t>Nauczyciel akademicki, z wyjątkiem Rektora, podlega ocenie okresowej, w szczególności w</w:t>
      </w:r>
      <w:r w:rsidR="00DC6CA1" w:rsidRPr="00D0496B">
        <w:rPr>
          <w:spacing w:val="-4"/>
        </w:rPr>
        <w:t> </w:t>
      </w:r>
      <w:r w:rsidRPr="00D0496B">
        <w:rPr>
          <w:spacing w:val="-4"/>
        </w:rPr>
        <w:t>zakresie</w:t>
      </w:r>
      <w:r w:rsidRPr="00174EBF">
        <w:t xml:space="preserve"> wykonywania obowiązków, o których mowa w art. 115 </w:t>
      </w:r>
      <w:r w:rsidR="00DC6CA1" w:rsidRPr="00174EBF">
        <w:t>u</w:t>
      </w:r>
      <w:r w:rsidRPr="00174EBF">
        <w:t>stawy Prawo o szkolnictwie</w:t>
      </w:r>
      <w:r w:rsidRPr="00443D73">
        <w:t xml:space="preserve"> wyższym i</w:t>
      </w:r>
      <w:r w:rsidR="00D0496B">
        <w:t> </w:t>
      </w:r>
      <w:r w:rsidRPr="00443D73">
        <w:t>nauce, oraz przestrzegania przepisów o prawie autorskim i prawach pokrewnych, a</w:t>
      </w:r>
      <w:r w:rsidR="00DC6CA1">
        <w:t> </w:t>
      </w:r>
      <w:r w:rsidRPr="00443D73">
        <w:t>także o</w:t>
      </w:r>
      <w:r w:rsidR="00D0496B">
        <w:t> </w:t>
      </w:r>
      <w:r w:rsidRPr="00443D73">
        <w:t xml:space="preserve">własności przemysłowej. Ocena okresowa jest dokonywana </w:t>
      </w:r>
      <w:r w:rsidRPr="006D18AC">
        <w:t>nie rzadziej niż raz na 4 lata</w:t>
      </w:r>
      <w:r w:rsidRPr="00443D73">
        <w:t xml:space="preserve"> lub</w:t>
      </w:r>
      <w:r w:rsidR="00D0496B">
        <w:t> </w:t>
      </w:r>
      <w:r w:rsidRPr="00443D73">
        <w:t>na</w:t>
      </w:r>
      <w:r w:rsidR="00D0496B">
        <w:t> </w:t>
      </w:r>
      <w:r w:rsidRPr="00443D73">
        <w:t xml:space="preserve">wniosek Rektora. </w:t>
      </w:r>
    </w:p>
    <w:p w14:paraId="009D9A76" w14:textId="125187D5" w:rsidR="00EA3C58" w:rsidRPr="001A7760" w:rsidRDefault="00EA3C58" w:rsidP="00E51821">
      <w:pPr>
        <w:pStyle w:val="Akapitzlist"/>
        <w:numPr>
          <w:ilvl w:val="0"/>
          <w:numId w:val="28"/>
        </w:numPr>
        <w:spacing w:after="60"/>
        <w:ind w:left="340" w:hanging="340"/>
      </w:pPr>
      <w:r w:rsidRPr="006C4ED9">
        <w:rPr>
          <w:spacing w:val="-4"/>
        </w:rPr>
        <w:t>Ocena pracowników niebędących nauczycielami akademickimi przeprowadzana jest na podstawie</w:t>
      </w:r>
      <w:r w:rsidRPr="00443D73">
        <w:t xml:space="preserve"> zasad określonych w Regulaminie okresowej </w:t>
      </w:r>
      <w:r w:rsidR="000C0529">
        <w:t>oceny pracowników niebędących nauczycielami akademickimi w ZUT.</w:t>
      </w:r>
    </w:p>
    <w:p w14:paraId="02471D1F" w14:textId="379DB4EA" w:rsidR="00EA3C58" w:rsidRPr="00263734" w:rsidRDefault="00EA3C58" w:rsidP="00AE035F">
      <w:pPr>
        <w:pStyle w:val="Nagwek1"/>
      </w:pPr>
      <w:bookmarkStart w:id="29" w:name="_Toc66431394"/>
      <w:r>
        <w:t>Dział 4. Awans</w:t>
      </w:r>
      <w:r w:rsidR="00560BCC">
        <w:t>e</w:t>
      </w:r>
      <w:r>
        <w:t xml:space="preserve"> </w:t>
      </w:r>
      <w:r w:rsidR="002A141E">
        <w:t>pracowników</w:t>
      </w:r>
      <w:bookmarkEnd w:id="29"/>
    </w:p>
    <w:p w14:paraId="7D34F092" w14:textId="5EAA9EE2" w:rsidR="00EA3C58" w:rsidRPr="007328BE" w:rsidRDefault="007155B0" w:rsidP="00AE035F">
      <w:pPr>
        <w:pStyle w:val="nagwek20"/>
      </w:pPr>
      <w:bookmarkStart w:id="30" w:name="_Toc66431395"/>
      <w:r>
        <w:t xml:space="preserve">4.1. </w:t>
      </w:r>
      <w:r w:rsidR="00EA3C58" w:rsidRPr="007328BE">
        <w:t>Awans nauczyciel</w:t>
      </w:r>
      <w:r w:rsidR="00560BCC">
        <w:t>a</w:t>
      </w:r>
      <w:r w:rsidR="00EA3C58" w:rsidRPr="007328BE">
        <w:t xml:space="preserve"> akademicki</w:t>
      </w:r>
      <w:r w:rsidR="00560BCC">
        <w:t>ego</w:t>
      </w:r>
      <w:bookmarkEnd w:id="30"/>
      <w:r w:rsidR="00EA3C58" w:rsidRPr="007328BE">
        <w:t xml:space="preserve"> </w:t>
      </w:r>
    </w:p>
    <w:p w14:paraId="144A43C3" w14:textId="3B9C363A" w:rsidR="007328BE" w:rsidRPr="007328BE" w:rsidRDefault="007155B0" w:rsidP="00AE035F">
      <w:pPr>
        <w:pStyle w:val="nagwek3"/>
      </w:pPr>
      <w:bookmarkStart w:id="31" w:name="_Toc66431396"/>
      <w:r>
        <w:t xml:space="preserve">4.1.1. </w:t>
      </w:r>
      <w:r w:rsidR="007328BE" w:rsidRPr="007328BE">
        <w:t>Awans na stanowisko profesora</w:t>
      </w:r>
      <w:r w:rsidR="00E51821">
        <w:t xml:space="preserve"> i profesora uczelni</w:t>
      </w:r>
      <w:bookmarkEnd w:id="31"/>
    </w:p>
    <w:p w14:paraId="72FE07BA" w14:textId="7911551F" w:rsidR="00EA3C58" w:rsidRDefault="00EA3C58" w:rsidP="00045860">
      <w:pPr>
        <w:pStyle w:val="Akapitzlist"/>
        <w:numPr>
          <w:ilvl w:val="0"/>
          <w:numId w:val="29"/>
        </w:numPr>
        <w:spacing w:after="60" w:line="259" w:lineRule="auto"/>
        <w:ind w:left="357" w:hanging="357"/>
      </w:pPr>
      <w:r w:rsidRPr="00443D73">
        <w:t xml:space="preserve">Zgodnie z </w:t>
      </w:r>
      <w:r w:rsidR="00DC6CA1">
        <w:t>u</w:t>
      </w:r>
      <w:r w:rsidRPr="00443D73">
        <w:t xml:space="preserve">stawą z dnia 20 lipca 2018 r. </w:t>
      </w:r>
      <w:r w:rsidRPr="00DC6CA1">
        <w:rPr>
          <w:iCs/>
        </w:rPr>
        <w:t>Prawo o szkolnictwie wyższym i nauce o</w:t>
      </w:r>
      <w:r w:rsidRPr="00443D73">
        <w:t>d dnia uzyskania tytułu naukowego profesora osoba zatrudniona jako nauczyciel akademicki zostaje zatrudniona na stanowisku profesora.</w:t>
      </w:r>
    </w:p>
    <w:p w14:paraId="31471731" w14:textId="656A472F" w:rsidR="007328BE" w:rsidRDefault="00EA3C58" w:rsidP="00045860">
      <w:pPr>
        <w:pStyle w:val="Akapitzlist"/>
        <w:numPr>
          <w:ilvl w:val="0"/>
          <w:numId w:val="29"/>
        </w:numPr>
        <w:spacing w:after="60" w:line="259" w:lineRule="auto"/>
        <w:ind w:left="357" w:hanging="357"/>
      </w:pPr>
      <w:r w:rsidRPr="000D1C6C">
        <w:t>Awans na stanowisk</w:t>
      </w:r>
      <w:r w:rsidR="00560BCC" w:rsidRPr="000D1C6C">
        <w:t>o</w:t>
      </w:r>
      <w:r w:rsidRPr="000D1C6C">
        <w:t xml:space="preserve"> profesora </w:t>
      </w:r>
      <w:r w:rsidR="00DC6CA1" w:rsidRPr="000D1C6C">
        <w:t>u</w:t>
      </w:r>
      <w:r w:rsidRPr="000D1C6C">
        <w:t>czelni jest możliwy poprzez spełnienie wymagań określonych</w:t>
      </w:r>
      <w:r w:rsidRPr="00443D73">
        <w:t xml:space="preserve"> </w:t>
      </w:r>
      <w:r w:rsidRPr="00174EBF">
        <w:rPr>
          <w:spacing w:val="-4"/>
        </w:rPr>
        <w:t xml:space="preserve">w Statucie </w:t>
      </w:r>
      <w:r w:rsidR="00DC6CA1" w:rsidRPr="00174EBF">
        <w:rPr>
          <w:spacing w:val="-4"/>
        </w:rPr>
        <w:t xml:space="preserve">ZUT </w:t>
      </w:r>
      <w:r w:rsidRPr="00174EBF">
        <w:rPr>
          <w:spacing w:val="-4"/>
        </w:rPr>
        <w:t xml:space="preserve">oraz </w:t>
      </w:r>
      <w:r w:rsidR="00DC6CA1" w:rsidRPr="00174EBF">
        <w:rPr>
          <w:spacing w:val="-4"/>
        </w:rPr>
        <w:t>z</w:t>
      </w:r>
      <w:r w:rsidRPr="00174EBF">
        <w:rPr>
          <w:spacing w:val="-4"/>
        </w:rPr>
        <w:t xml:space="preserve">arządzeniu </w:t>
      </w:r>
      <w:r w:rsidR="00DC6CA1" w:rsidRPr="00174EBF">
        <w:rPr>
          <w:spacing w:val="-4"/>
        </w:rPr>
        <w:t>n</w:t>
      </w:r>
      <w:r w:rsidRPr="00174EBF">
        <w:rPr>
          <w:spacing w:val="-4"/>
        </w:rPr>
        <w:t>r 50 Rektora ZUT z dnia 17 kwietnia 2020 r. w sprawie określenia</w:t>
      </w:r>
      <w:r w:rsidRPr="00443D73">
        <w:t xml:space="preserve"> kryteriów zatrudniania na stanowisku profesora </w:t>
      </w:r>
      <w:r w:rsidR="007328BE">
        <w:t>u</w:t>
      </w:r>
      <w:r w:rsidRPr="00443D73">
        <w:t>czelni w Zachodniopomorskim Uniwersytecie Technologicznym w Szczecinie.</w:t>
      </w:r>
    </w:p>
    <w:p w14:paraId="3B2EEDD6" w14:textId="3939BC94" w:rsidR="007328BE" w:rsidRDefault="00EA3C58" w:rsidP="00045860">
      <w:pPr>
        <w:pStyle w:val="Akapitzlist"/>
        <w:numPr>
          <w:ilvl w:val="0"/>
          <w:numId w:val="29"/>
        </w:numPr>
        <w:spacing w:after="60" w:line="259" w:lineRule="auto"/>
        <w:ind w:left="357" w:hanging="357"/>
      </w:pPr>
      <w:r w:rsidRPr="00443D73">
        <w:t>Kierownik jednostki organizacyjnej występuje do Rektora z wnioskiem o awans.</w:t>
      </w:r>
    </w:p>
    <w:p w14:paraId="13D3ACAF" w14:textId="7DF80A40" w:rsidR="00EA3C58" w:rsidRPr="00443D73" w:rsidRDefault="00EA3C58" w:rsidP="00045860">
      <w:pPr>
        <w:pStyle w:val="Akapitzlist"/>
        <w:numPr>
          <w:ilvl w:val="0"/>
          <w:numId w:val="29"/>
        </w:numPr>
        <w:spacing w:after="60" w:line="259" w:lineRule="auto"/>
        <w:ind w:left="357" w:hanging="357"/>
      </w:pPr>
      <w:r w:rsidRPr="006D18AC">
        <w:t xml:space="preserve">Rektor podejmuje decyzję po uzyskaniu opinii </w:t>
      </w:r>
      <w:r w:rsidR="007328BE" w:rsidRPr="006D18AC">
        <w:t>p</w:t>
      </w:r>
      <w:r w:rsidRPr="006D18AC">
        <w:t xml:space="preserve">rorektora ds. kształcenia oraz powołanej przez </w:t>
      </w:r>
      <w:r w:rsidRPr="00443D73">
        <w:t xml:space="preserve">Rektora </w:t>
      </w:r>
      <w:r w:rsidR="007328BE">
        <w:t>k</w:t>
      </w:r>
      <w:r w:rsidRPr="00443D73">
        <w:t>omisji ds. zatrudniania na stanowisku profesora uczelni.</w:t>
      </w:r>
      <w:r w:rsidR="007C17E6">
        <w:t xml:space="preserve"> </w:t>
      </w:r>
    </w:p>
    <w:p w14:paraId="7BA1351C" w14:textId="6CC4205B" w:rsidR="007328BE" w:rsidRPr="00186A3D" w:rsidRDefault="00357263" w:rsidP="00357263">
      <w:pPr>
        <w:pStyle w:val="nagwek3"/>
      </w:pPr>
      <w:bookmarkStart w:id="32" w:name="_Toc66431397"/>
      <w:r>
        <w:t xml:space="preserve">4.1.2. </w:t>
      </w:r>
      <w:r w:rsidR="007328BE" w:rsidRPr="00186A3D">
        <w:t xml:space="preserve">Awans na </w:t>
      </w:r>
      <w:r w:rsidR="00186A3D" w:rsidRPr="00186A3D">
        <w:t xml:space="preserve">pozostałe </w:t>
      </w:r>
      <w:r w:rsidR="007328BE" w:rsidRPr="00186A3D">
        <w:t>stanowiska</w:t>
      </w:r>
      <w:bookmarkEnd w:id="32"/>
      <w:r w:rsidR="007328BE" w:rsidRPr="00186A3D">
        <w:t xml:space="preserve"> </w:t>
      </w:r>
    </w:p>
    <w:p w14:paraId="344782FC" w14:textId="69DA6D55" w:rsidR="007328BE" w:rsidRDefault="00EA3C58" w:rsidP="006D18AC">
      <w:pPr>
        <w:pStyle w:val="Akapitzlist"/>
        <w:numPr>
          <w:ilvl w:val="0"/>
          <w:numId w:val="32"/>
        </w:numPr>
        <w:spacing w:after="60" w:line="259" w:lineRule="auto"/>
        <w:ind w:left="340" w:hanging="340"/>
      </w:pPr>
      <w:r w:rsidRPr="00810B13">
        <w:rPr>
          <w:spacing w:val="-4"/>
        </w:rPr>
        <w:t xml:space="preserve">Awans na stanowisko adiunkta/starszego lektora/starszego instruktora lub zmiana grupy nauczyciela </w:t>
      </w:r>
      <w:r w:rsidRPr="00443D73">
        <w:t xml:space="preserve">akademickiego jest możliwy bez ogłaszania konkursu, jeżeli nauczyciel akademicki spełnia wymagania określone w Statucie </w:t>
      </w:r>
      <w:r w:rsidR="007328BE">
        <w:t xml:space="preserve">ZUT </w:t>
      </w:r>
      <w:r w:rsidRPr="00443D73">
        <w:t xml:space="preserve">i uzyskał pozytywną ocenę okresową. </w:t>
      </w:r>
    </w:p>
    <w:p w14:paraId="16D23BD4" w14:textId="24B240BD" w:rsidR="007328BE" w:rsidRDefault="00EA3C58" w:rsidP="006D18AC">
      <w:pPr>
        <w:pStyle w:val="Akapitzlist"/>
        <w:numPr>
          <w:ilvl w:val="0"/>
          <w:numId w:val="32"/>
        </w:numPr>
        <w:spacing w:after="60" w:line="259" w:lineRule="auto"/>
        <w:ind w:left="340" w:hanging="340"/>
      </w:pPr>
      <w:r w:rsidRPr="00443D73">
        <w:t>Dziekan/kierownik jednostki międzywydziałowej, po zaopiniowaniu przez Radę Dyscypliny</w:t>
      </w:r>
      <w:r w:rsidR="007328BE">
        <w:t xml:space="preserve"> Naukowej</w:t>
      </w:r>
      <w:r w:rsidR="00186A3D">
        <w:t>,</w:t>
      </w:r>
      <w:r w:rsidRPr="00443D73">
        <w:t xml:space="preserve"> w przypadku awansu nauczyciela akademickiego w grupie pracowników badawczo-dydaktycznych i badawczych składa w Dziale Kadr wniosek do</w:t>
      </w:r>
      <w:r>
        <w:t> </w:t>
      </w:r>
      <w:r w:rsidRPr="00443D73">
        <w:t>Rektora o zmianę stanowiska.</w:t>
      </w:r>
    </w:p>
    <w:p w14:paraId="6DBC64CB" w14:textId="188AECFC" w:rsidR="00EA3C58" w:rsidRPr="006D18AC" w:rsidRDefault="00EA3C58" w:rsidP="006D18AC">
      <w:pPr>
        <w:pStyle w:val="Akapitzlist"/>
        <w:numPr>
          <w:ilvl w:val="0"/>
          <w:numId w:val="32"/>
        </w:numPr>
        <w:spacing w:after="60" w:line="259" w:lineRule="auto"/>
        <w:ind w:left="340" w:hanging="340"/>
      </w:pPr>
      <w:r w:rsidRPr="006D18AC">
        <w:t xml:space="preserve">Rektor podejmuje decyzję o awansie, po uzyskaniu opinii </w:t>
      </w:r>
      <w:r w:rsidR="007328BE" w:rsidRPr="006D18AC">
        <w:t>p</w:t>
      </w:r>
      <w:r w:rsidRPr="006D18AC">
        <w:t>rorektora ds. kształcenia.</w:t>
      </w:r>
    </w:p>
    <w:p w14:paraId="44391A3D" w14:textId="0B376EA4" w:rsidR="00EA3C58" w:rsidRPr="00263734" w:rsidRDefault="00357263" w:rsidP="00AE035F">
      <w:pPr>
        <w:pStyle w:val="nagwek20"/>
      </w:pPr>
      <w:bookmarkStart w:id="33" w:name="_Toc66431398"/>
      <w:r>
        <w:t xml:space="preserve">4.2. </w:t>
      </w:r>
      <w:r w:rsidR="00EA3C58" w:rsidRPr="00263734">
        <w:t>Awans pracownik</w:t>
      </w:r>
      <w:r w:rsidR="00560BCC">
        <w:t>a</w:t>
      </w:r>
      <w:r w:rsidR="00EA3C58" w:rsidRPr="00263734">
        <w:t xml:space="preserve"> niebędąc</w:t>
      </w:r>
      <w:r w:rsidR="00560BCC">
        <w:t>ego</w:t>
      </w:r>
      <w:r w:rsidR="00EA3C58">
        <w:t xml:space="preserve"> nauczyciel</w:t>
      </w:r>
      <w:r w:rsidR="00560BCC">
        <w:t>em</w:t>
      </w:r>
      <w:r w:rsidR="00EA3C58">
        <w:t xml:space="preserve"> akademickim</w:t>
      </w:r>
      <w:bookmarkEnd w:id="33"/>
    </w:p>
    <w:p w14:paraId="7B8D1875" w14:textId="77777777" w:rsidR="00186A3D" w:rsidRDefault="00EA3C58" w:rsidP="00E95BFF">
      <w:pPr>
        <w:pStyle w:val="Akapitzlist"/>
        <w:numPr>
          <w:ilvl w:val="0"/>
          <w:numId w:val="30"/>
        </w:numPr>
      </w:pPr>
      <w:r w:rsidRPr="00443D73">
        <w:t xml:space="preserve">Awans pracownika niebędącego nauczycielem akademickim jest możliwy po spełnieniu wymagań określonych w Regulaminie wynagradzania pracowników ZUT. </w:t>
      </w:r>
    </w:p>
    <w:p w14:paraId="5DB062CF" w14:textId="4977FD15" w:rsidR="00EA3C58" w:rsidRPr="00443D73" w:rsidRDefault="00EA3C58" w:rsidP="00045860">
      <w:pPr>
        <w:pStyle w:val="Akapitzlist"/>
        <w:numPr>
          <w:ilvl w:val="0"/>
          <w:numId w:val="30"/>
        </w:numPr>
        <w:spacing w:after="60"/>
      </w:pPr>
      <w:r w:rsidRPr="00443D73">
        <w:t xml:space="preserve">Z wnioskiem o zmianę stanowiska występuje kierownik jednostki organizacyjnej odpowiednio do Rektora lub </w:t>
      </w:r>
      <w:r w:rsidR="00186A3D">
        <w:t>k</w:t>
      </w:r>
      <w:r w:rsidRPr="00443D73">
        <w:t>anclerza.</w:t>
      </w:r>
    </w:p>
    <w:p w14:paraId="52CB986F" w14:textId="2B52BD38" w:rsidR="00EA3C58" w:rsidRPr="00443D73" w:rsidRDefault="00EA3C58" w:rsidP="00045860">
      <w:pPr>
        <w:pStyle w:val="Akapitzlist"/>
        <w:numPr>
          <w:ilvl w:val="0"/>
          <w:numId w:val="30"/>
        </w:numPr>
        <w:spacing w:after="60"/>
      </w:pPr>
      <w:r w:rsidRPr="00CB3686">
        <w:rPr>
          <w:spacing w:val="-4"/>
        </w:rPr>
        <w:lastRenderedPageBreak/>
        <w:t>Nabór na stanowiska kierownicze w grupie pracowników niebędących nauczycielami akademickimi</w:t>
      </w:r>
      <w:r w:rsidRPr="00443D73">
        <w:t xml:space="preserve"> </w:t>
      </w:r>
      <w:r w:rsidRPr="00CB3686">
        <w:rPr>
          <w:spacing w:val="-4"/>
        </w:rPr>
        <w:t>w pierwszej kolejności dokonywany jest wewnętrznie, spośród pracowników Uczelni spełniających</w:t>
      </w:r>
      <w:r w:rsidRPr="00443D73">
        <w:t xml:space="preserve"> </w:t>
      </w:r>
      <w:r w:rsidRPr="00C958BD">
        <w:t>wymagania kwalifikacyjne określone w Regulaminie wynagradzania</w:t>
      </w:r>
      <w:r w:rsidR="00186A3D" w:rsidRPr="00C958BD">
        <w:t xml:space="preserve"> pracowników ZUT</w:t>
      </w:r>
      <w:r w:rsidR="00260D7F" w:rsidRPr="00C958BD">
        <w:t>.</w:t>
      </w:r>
      <w:r w:rsidR="001E145C" w:rsidRPr="00C958BD">
        <w:t xml:space="preserve"> </w:t>
      </w:r>
      <w:r w:rsidR="00E725B0" w:rsidRPr="00C958BD">
        <w:t>Nabór</w:t>
      </w:r>
      <w:r w:rsidR="001C2AB4" w:rsidRPr="00C958BD">
        <w:t xml:space="preserve"> </w:t>
      </w:r>
      <w:r w:rsidR="001E145C" w:rsidRPr="00C958BD">
        <w:t xml:space="preserve">wewnętrzny </w:t>
      </w:r>
      <w:r w:rsidRPr="00C958BD">
        <w:rPr>
          <w:spacing w:val="-4"/>
        </w:rPr>
        <w:t>sprzyja rozwojowi pracowników, motywuje ich do efektywnej pracy i</w:t>
      </w:r>
      <w:r w:rsidR="00186A3D" w:rsidRPr="00C958BD">
        <w:rPr>
          <w:spacing w:val="-4"/>
        </w:rPr>
        <w:t xml:space="preserve"> </w:t>
      </w:r>
      <w:r w:rsidRPr="00C958BD">
        <w:rPr>
          <w:spacing w:val="-4"/>
        </w:rPr>
        <w:t xml:space="preserve">podnoszenia </w:t>
      </w:r>
      <w:r w:rsidRPr="00810B13">
        <w:rPr>
          <w:spacing w:val="-4"/>
        </w:rPr>
        <w:t>kwalifikacji</w:t>
      </w:r>
      <w:r w:rsidRPr="00443D73">
        <w:t xml:space="preserve"> zawodowych oraz umożliwia rozwój kariery zawodowej.</w:t>
      </w:r>
    </w:p>
    <w:p w14:paraId="08C4EB35" w14:textId="78D125EF" w:rsidR="001B6BBC" w:rsidRDefault="00EA3C58" w:rsidP="00C958BD">
      <w:pPr>
        <w:pStyle w:val="Akapitzlist"/>
        <w:numPr>
          <w:ilvl w:val="0"/>
          <w:numId w:val="30"/>
        </w:numPr>
        <w:spacing w:after="60"/>
      </w:pPr>
      <w:r w:rsidRPr="00443D73">
        <w:t xml:space="preserve">Jeżeli żaden pracownik ZUT nie spełnia </w:t>
      </w:r>
      <w:r w:rsidR="008C0FAA" w:rsidRPr="00443D73">
        <w:t xml:space="preserve">wymagań </w:t>
      </w:r>
      <w:r w:rsidRPr="00443D73">
        <w:t xml:space="preserve">określonych w Regulaminie wynagradzania </w:t>
      </w:r>
      <w:r w:rsidR="008C0FAA" w:rsidRPr="00260D7F">
        <w:t xml:space="preserve">pracowników ZUT </w:t>
      </w:r>
      <w:r w:rsidRPr="00260D7F">
        <w:t>lub</w:t>
      </w:r>
      <w:r w:rsidR="00600A94" w:rsidRPr="00260D7F">
        <w:t xml:space="preserve"> żaden nie złożył oferty kandydowania</w:t>
      </w:r>
      <w:r w:rsidRPr="00260D7F">
        <w:t xml:space="preserve"> na wolne stanowisko kierownicze, wówczas ogłaszany jest nabór na stronie </w:t>
      </w:r>
      <w:r w:rsidR="00EC61C2" w:rsidRPr="00260D7F">
        <w:t xml:space="preserve">internetowej </w:t>
      </w:r>
      <w:r w:rsidRPr="00260D7F">
        <w:t>ZUT i</w:t>
      </w:r>
      <w:r w:rsidR="009963FB" w:rsidRPr="00260D7F">
        <w:t> </w:t>
      </w:r>
      <w:r w:rsidRPr="00260D7F">
        <w:t>BIP. W tym przypadku stosuje się</w:t>
      </w:r>
      <w:r w:rsidRPr="00443D73">
        <w:t xml:space="preserve"> procedurę jak przy zatrudnianiu pracowników niebędących nauczycielami </w:t>
      </w:r>
      <w:r w:rsidRPr="00263734">
        <w:t>akademickimi.</w:t>
      </w:r>
    </w:p>
    <w:sectPr w:rsidR="001B6BBC" w:rsidSect="008225F9">
      <w:headerReference w:type="default" r:id="rId11"/>
      <w:footerReference w:type="default" r:id="rId12"/>
      <w:footerReference w:type="first" r:id="rId13"/>
      <w:pgSz w:w="11906" w:h="16838" w:code="9"/>
      <w:pgMar w:top="851" w:right="851" w:bottom="567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09E11" w14:textId="77777777" w:rsidR="00C1548E" w:rsidRDefault="00C1548E" w:rsidP="00C1548E">
      <w:pPr>
        <w:spacing w:line="240" w:lineRule="auto"/>
      </w:pPr>
      <w:r>
        <w:separator/>
      </w:r>
    </w:p>
  </w:endnote>
  <w:endnote w:type="continuationSeparator" w:id="0">
    <w:p w14:paraId="2AF919FB" w14:textId="77777777" w:rsidR="00C1548E" w:rsidRDefault="00C1548E" w:rsidP="00C15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87319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D09C620" w14:textId="6DF1219D" w:rsidR="001C7CB0" w:rsidRPr="001C7CB0" w:rsidRDefault="001C7CB0">
        <w:pPr>
          <w:pStyle w:val="Stopka"/>
          <w:jc w:val="right"/>
          <w:rPr>
            <w:sz w:val="20"/>
          </w:rPr>
        </w:pPr>
        <w:r w:rsidRPr="001C7CB0">
          <w:rPr>
            <w:sz w:val="20"/>
          </w:rPr>
          <w:fldChar w:fldCharType="begin"/>
        </w:r>
        <w:r w:rsidRPr="001C7CB0">
          <w:rPr>
            <w:sz w:val="20"/>
          </w:rPr>
          <w:instrText>PAGE   \* MERGEFORMAT</w:instrText>
        </w:r>
        <w:r w:rsidRPr="001C7CB0">
          <w:rPr>
            <w:sz w:val="20"/>
          </w:rPr>
          <w:fldChar w:fldCharType="separate"/>
        </w:r>
        <w:r w:rsidRPr="001C7CB0">
          <w:rPr>
            <w:sz w:val="20"/>
          </w:rPr>
          <w:t>2</w:t>
        </w:r>
        <w:r w:rsidRPr="001C7CB0">
          <w:rPr>
            <w:sz w:val="20"/>
          </w:rPr>
          <w:fldChar w:fldCharType="end"/>
        </w:r>
      </w:p>
    </w:sdtContent>
  </w:sdt>
  <w:p w14:paraId="0289BB5B" w14:textId="77777777" w:rsidR="00C1548E" w:rsidRDefault="00C15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163397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11FAA4" w14:textId="7A530C8F" w:rsidR="00F2698D" w:rsidRPr="008225F9" w:rsidRDefault="00F2698D" w:rsidP="008225F9">
        <w:pPr>
          <w:pStyle w:val="Stopka"/>
          <w:jc w:val="right"/>
          <w:rPr>
            <w:sz w:val="20"/>
          </w:rPr>
        </w:pPr>
        <w:r w:rsidRPr="001C7CB0">
          <w:rPr>
            <w:sz w:val="20"/>
          </w:rPr>
          <w:fldChar w:fldCharType="begin"/>
        </w:r>
        <w:r w:rsidRPr="001C7CB0">
          <w:rPr>
            <w:sz w:val="20"/>
          </w:rPr>
          <w:instrText>PAGE   \* MERGEFORMAT</w:instrText>
        </w:r>
        <w:r w:rsidRPr="001C7CB0">
          <w:rPr>
            <w:sz w:val="20"/>
          </w:rPr>
          <w:fldChar w:fldCharType="separate"/>
        </w:r>
        <w:r w:rsidRPr="001C7CB0">
          <w:rPr>
            <w:sz w:val="20"/>
          </w:rPr>
          <w:t>2</w:t>
        </w:r>
        <w:r w:rsidRPr="001C7CB0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8D2B" w14:textId="77777777" w:rsidR="001C7CB0" w:rsidRDefault="001C7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EA7B" w14:textId="77777777" w:rsidR="00C1548E" w:rsidRDefault="00C1548E" w:rsidP="00C1548E">
      <w:pPr>
        <w:spacing w:line="240" w:lineRule="auto"/>
      </w:pPr>
      <w:r>
        <w:separator/>
      </w:r>
    </w:p>
  </w:footnote>
  <w:footnote w:type="continuationSeparator" w:id="0">
    <w:p w14:paraId="2B174C2A" w14:textId="77777777" w:rsidR="00C1548E" w:rsidRDefault="00C1548E" w:rsidP="00C15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5CCB" w14:textId="77777777" w:rsidR="00F2698D" w:rsidRPr="005701A2" w:rsidRDefault="00F269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B6F"/>
    <w:multiLevelType w:val="hybridMultilevel"/>
    <w:tmpl w:val="91BEBDE6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93D"/>
    <w:multiLevelType w:val="multilevel"/>
    <w:tmpl w:val="E53CE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E0D17"/>
    <w:multiLevelType w:val="hybridMultilevel"/>
    <w:tmpl w:val="C4AEBF74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1EED1780"/>
    <w:multiLevelType w:val="hybridMultilevel"/>
    <w:tmpl w:val="680622E6"/>
    <w:lvl w:ilvl="0" w:tplc="1F8C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274E0"/>
    <w:multiLevelType w:val="hybridMultilevel"/>
    <w:tmpl w:val="F9468824"/>
    <w:lvl w:ilvl="0" w:tplc="78329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50A1"/>
    <w:multiLevelType w:val="hybridMultilevel"/>
    <w:tmpl w:val="00620AF8"/>
    <w:lvl w:ilvl="0" w:tplc="78329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283E"/>
    <w:multiLevelType w:val="hybridMultilevel"/>
    <w:tmpl w:val="07C2EFA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11B85"/>
    <w:multiLevelType w:val="hybridMultilevel"/>
    <w:tmpl w:val="F000CA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427E"/>
    <w:multiLevelType w:val="hybridMultilevel"/>
    <w:tmpl w:val="D61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B447E"/>
    <w:multiLevelType w:val="multilevel"/>
    <w:tmpl w:val="2E04A9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AB5B51"/>
    <w:multiLevelType w:val="hybridMultilevel"/>
    <w:tmpl w:val="F9A01866"/>
    <w:lvl w:ilvl="0" w:tplc="1F8C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87611"/>
    <w:multiLevelType w:val="hybridMultilevel"/>
    <w:tmpl w:val="E3D85624"/>
    <w:lvl w:ilvl="0" w:tplc="20D25F42">
      <w:start w:val="1"/>
      <w:numFmt w:val="decimal"/>
      <w:lvlText w:val="%1."/>
      <w:lvlJc w:val="left"/>
      <w:pPr>
        <w:ind w:left="426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9B043FC"/>
    <w:multiLevelType w:val="hybridMultilevel"/>
    <w:tmpl w:val="DD64D57C"/>
    <w:lvl w:ilvl="0" w:tplc="92CAD7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459BA"/>
    <w:multiLevelType w:val="hybridMultilevel"/>
    <w:tmpl w:val="1AFED49E"/>
    <w:lvl w:ilvl="0" w:tplc="1F8C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E26A2A"/>
    <w:multiLevelType w:val="hybridMultilevel"/>
    <w:tmpl w:val="52A6FDB6"/>
    <w:lvl w:ilvl="0" w:tplc="1F8C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75262"/>
    <w:multiLevelType w:val="hybridMultilevel"/>
    <w:tmpl w:val="69B481D4"/>
    <w:lvl w:ilvl="0" w:tplc="2CE24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3607FBA"/>
    <w:multiLevelType w:val="hybridMultilevel"/>
    <w:tmpl w:val="5AE8CE2E"/>
    <w:lvl w:ilvl="0" w:tplc="CCEE636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7C7355"/>
    <w:multiLevelType w:val="hybridMultilevel"/>
    <w:tmpl w:val="88C08D2E"/>
    <w:lvl w:ilvl="0" w:tplc="5BA8C3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C146FC5"/>
    <w:multiLevelType w:val="hybridMultilevel"/>
    <w:tmpl w:val="5BA40CDA"/>
    <w:lvl w:ilvl="0" w:tplc="AB3A7C6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3077DBE"/>
    <w:multiLevelType w:val="hybridMultilevel"/>
    <w:tmpl w:val="023AAF08"/>
    <w:lvl w:ilvl="0" w:tplc="7FF67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013E0"/>
    <w:multiLevelType w:val="hybridMultilevel"/>
    <w:tmpl w:val="3CDE5F20"/>
    <w:lvl w:ilvl="0" w:tplc="1F8C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F40C5"/>
    <w:multiLevelType w:val="hybridMultilevel"/>
    <w:tmpl w:val="26FCDD2C"/>
    <w:lvl w:ilvl="0" w:tplc="1F8C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85341A"/>
    <w:multiLevelType w:val="hybridMultilevel"/>
    <w:tmpl w:val="0416215A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73A04"/>
    <w:multiLevelType w:val="hybridMultilevel"/>
    <w:tmpl w:val="C6CE5AC4"/>
    <w:lvl w:ilvl="0" w:tplc="EBA80E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22BD"/>
    <w:multiLevelType w:val="hybridMultilevel"/>
    <w:tmpl w:val="EA82FFDA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6090E"/>
    <w:multiLevelType w:val="hybridMultilevel"/>
    <w:tmpl w:val="1C5E822A"/>
    <w:lvl w:ilvl="0" w:tplc="3C14258C">
      <w:start w:val="1"/>
      <w:numFmt w:val="decimal"/>
      <w:lvlText w:val="%1."/>
      <w:lvlJc w:val="left"/>
      <w:pPr>
        <w:ind w:left="426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52691"/>
    <w:multiLevelType w:val="multilevel"/>
    <w:tmpl w:val="7A72D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E358BC"/>
    <w:multiLevelType w:val="hybridMultilevel"/>
    <w:tmpl w:val="ECFC1A16"/>
    <w:lvl w:ilvl="0" w:tplc="1F8C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3467D"/>
    <w:multiLevelType w:val="hybridMultilevel"/>
    <w:tmpl w:val="D19CC414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32134"/>
    <w:multiLevelType w:val="multilevel"/>
    <w:tmpl w:val="9496E6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E76942"/>
    <w:multiLevelType w:val="hybridMultilevel"/>
    <w:tmpl w:val="A8FC8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D5583C"/>
    <w:multiLevelType w:val="hybridMultilevel"/>
    <w:tmpl w:val="61964EA0"/>
    <w:lvl w:ilvl="0" w:tplc="AB3A7C6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EAE222B"/>
    <w:multiLevelType w:val="hybridMultilevel"/>
    <w:tmpl w:val="1F84839E"/>
    <w:lvl w:ilvl="0" w:tplc="1F8C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90BF1"/>
    <w:multiLevelType w:val="hybridMultilevel"/>
    <w:tmpl w:val="7BE2F3F8"/>
    <w:lvl w:ilvl="0" w:tplc="1F8C7F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9"/>
  </w:num>
  <w:num w:numId="5">
    <w:abstractNumId w:val="16"/>
  </w:num>
  <w:num w:numId="6">
    <w:abstractNumId w:val="21"/>
  </w:num>
  <w:num w:numId="7">
    <w:abstractNumId w:val="36"/>
  </w:num>
  <w:num w:numId="8">
    <w:abstractNumId w:val="4"/>
  </w:num>
  <w:num w:numId="9">
    <w:abstractNumId w:val="35"/>
  </w:num>
  <w:num w:numId="10">
    <w:abstractNumId w:val="11"/>
  </w:num>
  <w:num w:numId="11">
    <w:abstractNumId w:val="18"/>
  </w:num>
  <w:num w:numId="12">
    <w:abstractNumId w:val="15"/>
  </w:num>
  <w:num w:numId="13">
    <w:abstractNumId w:val="30"/>
  </w:num>
  <w:num w:numId="14">
    <w:abstractNumId w:val="32"/>
  </w:num>
  <w:num w:numId="15">
    <w:abstractNumId w:val="25"/>
  </w:num>
  <w:num w:numId="16">
    <w:abstractNumId w:val="2"/>
  </w:num>
  <w:num w:numId="17">
    <w:abstractNumId w:val="33"/>
  </w:num>
  <w:num w:numId="18">
    <w:abstractNumId w:val="26"/>
  </w:num>
  <w:num w:numId="19">
    <w:abstractNumId w:val="13"/>
  </w:num>
  <w:num w:numId="20">
    <w:abstractNumId w:val="19"/>
  </w:num>
  <w:num w:numId="21">
    <w:abstractNumId w:val="27"/>
  </w:num>
  <w:num w:numId="22">
    <w:abstractNumId w:val="6"/>
  </w:num>
  <w:num w:numId="23">
    <w:abstractNumId w:val="5"/>
  </w:num>
  <w:num w:numId="24">
    <w:abstractNumId w:val="0"/>
  </w:num>
  <w:num w:numId="25">
    <w:abstractNumId w:val="31"/>
  </w:num>
  <w:num w:numId="26">
    <w:abstractNumId w:val="7"/>
  </w:num>
  <w:num w:numId="27">
    <w:abstractNumId w:val="1"/>
  </w:num>
  <w:num w:numId="28">
    <w:abstractNumId w:val="14"/>
  </w:num>
  <w:num w:numId="29">
    <w:abstractNumId w:val="29"/>
  </w:num>
  <w:num w:numId="30">
    <w:abstractNumId w:val="23"/>
  </w:num>
  <w:num w:numId="31">
    <w:abstractNumId w:val="24"/>
  </w:num>
  <w:num w:numId="32">
    <w:abstractNumId w:val="10"/>
  </w:num>
  <w:num w:numId="33">
    <w:abstractNumId w:val="22"/>
  </w:num>
  <w:num w:numId="34">
    <w:abstractNumId w:val="8"/>
  </w:num>
  <w:num w:numId="35">
    <w:abstractNumId w:val="12"/>
  </w:num>
  <w:num w:numId="36">
    <w:abstractNumId w:val="28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44"/>
    <w:rsid w:val="00045860"/>
    <w:rsid w:val="00053B57"/>
    <w:rsid w:val="000670EE"/>
    <w:rsid w:val="00067468"/>
    <w:rsid w:val="00077392"/>
    <w:rsid w:val="00084602"/>
    <w:rsid w:val="00087545"/>
    <w:rsid w:val="000A6086"/>
    <w:rsid w:val="000B1112"/>
    <w:rsid w:val="000B71C4"/>
    <w:rsid w:val="000C0529"/>
    <w:rsid w:val="000D1C6C"/>
    <w:rsid w:val="000E228C"/>
    <w:rsid w:val="000E3AFB"/>
    <w:rsid w:val="00103386"/>
    <w:rsid w:val="001168D3"/>
    <w:rsid w:val="0012029B"/>
    <w:rsid w:val="001220E0"/>
    <w:rsid w:val="00122717"/>
    <w:rsid w:val="001301FC"/>
    <w:rsid w:val="00163B71"/>
    <w:rsid w:val="001723CE"/>
    <w:rsid w:val="001735C9"/>
    <w:rsid w:val="00174EBF"/>
    <w:rsid w:val="001755D7"/>
    <w:rsid w:val="0018683F"/>
    <w:rsid w:val="00186A3D"/>
    <w:rsid w:val="001A6E05"/>
    <w:rsid w:val="001A7760"/>
    <w:rsid w:val="001B2AD8"/>
    <w:rsid w:val="001B6BBC"/>
    <w:rsid w:val="001C2AB4"/>
    <w:rsid w:val="001C4EE8"/>
    <w:rsid w:val="001C68C5"/>
    <w:rsid w:val="001C7CB0"/>
    <w:rsid w:val="001D5C9F"/>
    <w:rsid w:val="001E145C"/>
    <w:rsid w:val="001F7C94"/>
    <w:rsid w:val="001F7E4B"/>
    <w:rsid w:val="00206331"/>
    <w:rsid w:val="002150E5"/>
    <w:rsid w:val="00222778"/>
    <w:rsid w:val="00224A48"/>
    <w:rsid w:val="002250AB"/>
    <w:rsid w:val="002263CD"/>
    <w:rsid w:val="0024156F"/>
    <w:rsid w:val="002530A6"/>
    <w:rsid w:val="00256249"/>
    <w:rsid w:val="00256ADB"/>
    <w:rsid w:val="00260D7F"/>
    <w:rsid w:val="002727BA"/>
    <w:rsid w:val="00284F73"/>
    <w:rsid w:val="00295B37"/>
    <w:rsid w:val="002A141E"/>
    <w:rsid w:val="002B251B"/>
    <w:rsid w:val="002B3CBC"/>
    <w:rsid w:val="002B6E5E"/>
    <w:rsid w:val="002C1411"/>
    <w:rsid w:val="002D6C16"/>
    <w:rsid w:val="002F1774"/>
    <w:rsid w:val="002F43A8"/>
    <w:rsid w:val="002F7038"/>
    <w:rsid w:val="002F78CE"/>
    <w:rsid w:val="003060F6"/>
    <w:rsid w:val="0031144A"/>
    <w:rsid w:val="0032247B"/>
    <w:rsid w:val="0033008B"/>
    <w:rsid w:val="0033390A"/>
    <w:rsid w:val="00334E15"/>
    <w:rsid w:val="00347E51"/>
    <w:rsid w:val="00354206"/>
    <w:rsid w:val="00357263"/>
    <w:rsid w:val="00357921"/>
    <w:rsid w:val="00374529"/>
    <w:rsid w:val="00391A27"/>
    <w:rsid w:val="0039740B"/>
    <w:rsid w:val="003C0BD5"/>
    <w:rsid w:val="003D3C3F"/>
    <w:rsid w:val="003D702C"/>
    <w:rsid w:val="003F76ED"/>
    <w:rsid w:val="00403444"/>
    <w:rsid w:val="004146C2"/>
    <w:rsid w:val="00455903"/>
    <w:rsid w:val="0046434E"/>
    <w:rsid w:val="00476DEB"/>
    <w:rsid w:val="0048080F"/>
    <w:rsid w:val="00481EFD"/>
    <w:rsid w:val="00482B4A"/>
    <w:rsid w:val="00486DB7"/>
    <w:rsid w:val="00490755"/>
    <w:rsid w:val="0049494D"/>
    <w:rsid w:val="00494CD9"/>
    <w:rsid w:val="004A02A1"/>
    <w:rsid w:val="004A6460"/>
    <w:rsid w:val="004B10A9"/>
    <w:rsid w:val="004B29B5"/>
    <w:rsid w:val="004B6C36"/>
    <w:rsid w:val="004D0F26"/>
    <w:rsid w:val="004D1333"/>
    <w:rsid w:val="004D17B5"/>
    <w:rsid w:val="004D31D9"/>
    <w:rsid w:val="004D7B9E"/>
    <w:rsid w:val="004E115C"/>
    <w:rsid w:val="004E2D0D"/>
    <w:rsid w:val="004F3264"/>
    <w:rsid w:val="00507D49"/>
    <w:rsid w:val="00513FC0"/>
    <w:rsid w:val="00521022"/>
    <w:rsid w:val="00521D38"/>
    <w:rsid w:val="00521DE5"/>
    <w:rsid w:val="0053358C"/>
    <w:rsid w:val="00553C3A"/>
    <w:rsid w:val="00560BCC"/>
    <w:rsid w:val="00566467"/>
    <w:rsid w:val="00566FA1"/>
    <w:rsid w:val="00567B58"/>
    <w:rsid w:val="005701A2"/>
    <w:rsid w:val="00581625"/>
    <w:rsid w:val="005A174A"/>
    <w:rsid w:val="005A5A36"/>
    <w:rsid w:val="005B0F6A"/>
    <w:rsid w:val="005B5F56"/>
    <w:rsid w:val="005B76D0"/>
    <w:rsid w:val="005D34BD"/>
    <w:rsid w:val="005D3910"/>
    <w:rsid w:val="005E0296"/>
    <w:rsid w:val="005E02F0"/>
    <w:rsid w:val="005E6684"/>
    <w:rsid w:val="00600A94"/>
    <w:rsid w:val="00605389"/>
    <w:rsid w:val="006079A3"/>
    <w:rsid w:val="00615340"/>
    <w:rsid w:val="006158D4"/>
    <w:rsid w:val="0061662A"/>
    <w:rsid w:val="00622653"/>
    <w:rsid w:val="00636889"/>
    <w:rsid w:val="006372E5"/>
    <w:rsid w:val="0065313A"/>
    <w:rsid w:val="00667971"/>
    <w:rsid w:val="006964F0"/>
    <w:rsid w:val="006A4E39"/>
    <w:rsid w:val="006B3BE9"/>
    <w:rsid w:val="006C44E6"/>
    <w:rsid w:val="006C4ED9"/>
    <w:rsid w:val="006D18AC"/>
    <w:rsid w:val="006D7C01"/>
    <w:rsid w:val="006F23F0"/>
    <w:rsid w:val="00710573"/>
    <w:rsid w:val="007105B9"/>
    <w:rsid w:val="0071126C"/>
    <w:rsid w:val="007155B0"/>
    <w:rsid w:val="00726CCD"/>
    <w:rsid w:val="00732759"/>
    <w:rsid w:val="007328BE"/>
    <w:rsid w:val="00747415"/>
    <w:rsid w:val="00762C42"/>
    <w:rsid w:val="00771133"/>
    <w:rsid w:val="0078236C"/>
    <w:rsid w:val="00787289"/>
    <w:rsid w:val="00794C0B"/>
    <w:rsid w:val="007A1154"/>
    <w:rsid w:val="007A2A45"/>
    <w:rsid w:val="007A30D8"/>
    <w:rsid w:val="007C15EC"/>
    <w:rsid w:val="007C17E6"/>
    <w:rsid w:val="007E2180"/>
    <w:rsid w:val="007E2640"/>
    <w:rsid w:val="007E64B6"/>
    <w:rsid w:val="007F4E12"/>
    <w:rsid w:val="007F7297"/>
    <w:rsid w:val="00807FA8"/>
    <w:rsid w:val="00810B13"/>
    <w:rsid w:val="00814E4F"/>
    <w:rsid w:val="008170CE"/>
    <w:rsid w:val="008225F9"/>
    <w:rsid w:val="00831FC6"/>
    <w:rsid w:val="00843460"/>
    <w:rsid w:val="00844E2E"/>
    <w:rsid w:val="0084503D"/>
    <w:rsid w:val="0084590E"/>
    <w:rsid w:val="00861952"/>
    <w:rsid w:val="00873AC7"/>
    <w:rsid w:val="008770B1"/>
    <w:rsid w:val="00881A49"/>
    <w:rsid w:val="00896DA4"/>
    <w:rsid w:val="008A4BB4"/>
    <w:rsid w:val="008B54F1"/>
    <w:rsid w:val="008B7CBC"/>
    <w:rsid w:val="008C0FAA"/>
    <w:rsid w:val="008C1859"/>
    <w:rsid w:val="008C4AE0"/>
    <w:rsid w:val="008C623B"/>
    <w:rsid w:val="008D732B"/>
    <w:rsid w:val="008F0845"/>
    <w:rsid w:val="008F644D"/>
    <w:rsid w:val="009012AD"/>
    <w:rsid w:val="00902CAD"/>
    <w:rsid w:val="00906CEB"/>
    <w:rsid w:val="00910B52"/>
    <w:rsid w:val="0091534F"/>
    <w:rsid w:val="00915DC4"/>
    <w:rsid w:val="00920F86"/>
    <w:rsid w:val="00923AF5"/>
    <w:rsid w:val="00924189"/>
    <w:rsid w:val="00935200"/>
    <w:rsid w:val="00941C83"/>
    <w:rsid w:val="00953C72"/>
    <w:rsid w:val="00961652"/>
    <w:rsid w:val="00965019"/>
    <w:rsid w:val="00973899"/>
    <w:rsid w:val="00977F95"/>
    <w:rsid w:val="00984450"/>
    <w:rsid w:val="00991A59"/>
    <w:rsid w:val="00995488"/>
    <w:rsid w:val="009963FB"/>
    <w:rsid w:val="009A4F89"/>
    <w:rsid w:val="009C4D9B"/>
    <w:rsid w:val="009C7443"/>
    <w:rsid w:val="009D3280"/>
    <w:rsid w:val="009E2906"/>
    <w:rsid w:val="009E5428"/>
    <w:rsid w:val="009E5D57"/>
    <w:rsid w:val="009E5FC1"/>
    <w:rsid w:val="009F3A9A"/>
    <w:rsid w:val="00A04C28"/>
    <w:rsid w:val="00A17D1F"/>
    <w:rsid w:val="00A25D0B"/>
    <w:rsid w:val="00A26B97"/>
    <w:rsid w:val="00A35DB7"/>
    <w:rsid w:val="00A35E16"/>
    <w:rsid w:val="00A50297"/>
    <w:rsid w:val="00A672A0"/>
    <w:rsid w:val="00A81C63"/>
    <w:rsid w:val="00A924C5"/>
    <w:rsid w:val="00A93C11"/>
    <w:rsid w:val="00AA6883"/>
    <w:rsid w:val="00AA6F44"/>
    <w:rsid w:val="00AC5A7D"/>
    <w:rsid w:val="00AC5F33"/>
    <w:rsid w:val="00AE035F"/>
    <w:rsid w:val="00AF1008"/>
    <w:rsid w:val="00AF3ECC"/>
    <w:rsid w:val="00AF79CB"/>
    <w:rsid w:val="00B0069B"/>
    <w:rsid w:val="00B10445"/>
    <w:rsid w:val="00B3192C"/>
    <w:rsid w:val="00B37348"/>
    <w:rsid w:val="00B4412F"/>
    <w:rsid w:val="00B46149"/>
    <w:rsid w:val="00B47808"/>
    <w:rsid w:val="00B605C3"/>
    <w:rsid w:val="00B723B0"/>
    <w:rsid w:val="00B7558B"/>
    <w:rsid w:val="00B9351E"/>
    <w:rsid w:val="00BA3509"/>
    <w:rsid w:val="00BA3F37"/>
    <w:rsid w:val="00BA5C27"/>
    <w:rsid w:val="00BA7A97"/>
    <w:rsid w:val="00BB52A5"/>
    <w:rsid w:val="00BC6B95"/>
    <w:rsid w:val="00BE0D25"/>
    <w:rsid w:val="00BE528A"/>
    <w:rsid w:val="00C01030"/>
    <w:rsid w:val="00C07CA1"/>
    <w:rsid w:val="00C1548E"/>
    <w:rsid w:val="00C22793"/>
    <w:rsid w:val="00C25204"/>
    <w:rsid w:val="00C35695"/>
    <w:rsid w:val="00C406DA"/>
    <w:rsid w:val="00C45EFE"/>
    <w:rsid w:val="00C47291"/>
    <w:rsid w:val="00C508EE"/>
    <w:rsid w:val="00C52E51"/>
    <w:rsid w:val="00C54C20"/>
    <w:rsid w:val="00C64766"/>
    <w:rsid w:val="00C657FA"/>
    <w:rsid w:val="00C7401E"/>
    <w:rsid w:val="00C745F1"/>
    <w:rsid w:val="00C83228"/>
    <w:rsid w:val="00C958BD"/>
    <w:rsid w:val="00CA031A"/>
    <w:rsid w:val="00CA1069"/>
    <w:rsid w:val="00CA1EEC"/>
    <w:rsid w:val="00CA6AC7"/>
    <w:rsid w:val="00CB3686"/>
    <w:rsid w:val="00CB6E1C"/>
    <w:rsid w:val="00CC4A14"/>
    <w:rsid w:val="00CC646F"/>
    <w:rsid w:val="00CD3F0D"/>
    <w:rsid w:val="00CE032A"/>
    <w:rsid w:val="00CE5B2F"/>
    <w:rsid w:val="00CF2710"/>
    <w:rsid w:val="00D0080F"/>
    <w:rsid w:val="00D02BCA"/>
    <w:rsid w:val="00D0496B"/>
    <w:rsid w:val="00D1055A"/>
    <w:rsid w:val="00D237C5"/>
    <w:rsid w:val="00D35EDE"/>
    <w:rsid w:val="00D40832"/>
    <w:rsid w:val="00D4493B"/>
    <w:rsid w:val="00D5281E"/>
    <w:rsid w:val="00D6219C"/>
    <w:rsid w:val="00D648DC"/>
    <w:rsid w:val="00D64C1C"/>
    <w:rsid w:val="00D6622C"/>
    <w:rsid w:val="00D7155E"/>
    <w:rsid w:val="00D74288"/>
    <w:rsid w:val="00D909B7"/>
    <w:rsid w:val="00D942C3"/>
    <w:rsid w:val="00DA40E0"/>
    <w:rsid w:val="00DB68A2"/>
    <w:rsid w:val="00DC424A"/>
    <w:rsid w:val="00DC6CA1"/>
    <w:rsid w:val="00DD30B7"/>
    <w:rsid w:val="00DD4F20"/>
    <w:rsid w:val="00DF598A"/>
    <w:rsid w:val="00E123B1"/>
    <w:rsid w:val="00E17637"/>
    <w:rsid w:val="00E22A73"/>
    <w:rsid w:val="00E306EC"/>
    <w:rsid w:val="00E34E6D"/>
    <w:rsid w:val="00E36557"/>
    <w:rsid w:val="00E43466"/>
    <w:rsid w:val="00E437A8"/>
    <w:rsid w:val="00E51821"/>
    <w:rsid w:val="00E536B4"/>
    <w:rsid w:val="00E725B0"/>
    <w:rsid w:val="00E75079"/>
    <w:rsid w:val="00E80144"/>
    <w:rsid w:val="00E9006C"/>
    <w:rsid w:val="00E95BFF"/>
    <w:rsid w:val="00E97F52"/>
    <w:rsid w:val="00EA3C58"/>
    <w:rsid w:val="00EB067A"/>
    <w:rsid w:val="00EC21F7"/>
    <w:rsid w:val="00EC5495"/>
    <w:rsid w:val="00EC61C2"/>
    <w:rsid w:val="00EC7CEF"/>
    <w:rsid w:val="00EE0A5B"/>
    <w:rsid w:val="00EE0E88"/>
    <w:rsid w:val="00EE21BD"/>
    <w:rsid w:val="00EE6590"/>
    <w:rsid w:val="00EF0BE1"/>
    <w:rsid w:val="00EF534B"/>
    <w:rsid w:val="00F03331"/>
    <w:rsid w:val="00F1268F"/>
    <w:rsid w:val="00F2698D"/>
    <w:rsid w:val="00F36A77"/>
    <w:rsid w:val="00F424EE"/>
    <w:rsid w:val="00F531F7"/>
    <w:rsid w:val="00F56C58"/>
    <w:rsid w:val="00F668BD"/>
    <w:rsid w:val="00F81E75"/>
    <w:rsid w:val="00F863D4"/>
    <w:rsid w:val="00F95421"/>
    <w:rsid w:val="00FA370F"/>
    <w:rsid w:val="00FA5A26"/>
    <w:rsid w:val="00FB1F3F"/>
    <w:rsid w:val="00FB5526"/>
    <w:rsid w:val="00FD7740"/>
    <w:rsid w:val="00FF337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494D2F"/>
  <w15:chartTrackingRefBased/>
  <w15:docId w15:val="{167C9A45-432A-4C0B-B872-9F20E7D3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D64C1C"/>
    <w:pPr>
      <w:spacing w:before="240" w:after="120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C7CEF"/>
    <w:pPr>
      <w:spacing w:before="120" w:after="360"/>
      <w:jc w:val="center"/>
      <w:outlineLvl w:val="0"/>
    </w:pPr>
    <w:rPr>
      <w:b/>
      <w:bCs w:val="0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C7CEF"/>
    <w:rPr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D34BD"/>
    <w:pPr>
      <w:jc w:val="center"/>
      <w:outlineLvl w:val="3"/>
    </w:pPr>
    <w:rPr>
      <w:rFonts w:ascii="Arial" w:hAnsi="Arial"/>
      <w:b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D34BD"/>
    <w:rPr>
      <w:rFonts w:ascii="Arial" w:hAnsi="Arial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D64C1C"/>
    <w:rPr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35DB7"/>
    <w:pPr>
      <w:spacing w:before="240" w:after="120"/>
      <w:jc w:val="both"/>
      <w:outlineLvl w:val="9"/>
    </w:pPr>
    <w:rPr>
      <w:rFonts w:ascii="Times New Roman" w:hAnsi="Times New Roman"/>
      <w:b w:val="0"/>
      <w:color w:val="FF0000"/>
      <w:sz w:val="24"/>
    </w:rPr>
  </w:style>
  <w:style w:type="character" w:customStyle="1" w:styleId="dataZnak">
    <w:name w:val="data Znak"/>
    <w:basedOn w:val="PodtytuZnak"/>
    <w:link w:val="data"/>
    <w:rsid w:val="00507D49"/>
    <w:rPr>
      <w:rFonts w:ascii="Arial" w:hAnsi="Arial"/>
      <w:b/>
      <w:bCs/>
      <w:sz w:val="28"/>
      <w:szCs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2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A35DB7"/>
    <w:rPr>
      <w:rFonts w:ascii="Arial" w:hAnsi="Arial"/>
      <w:b w:val="0"/>
      <w:bCs/>
      <w:color w:val="FF000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rFonts w:ascii="Arial" w:hAnsi="Arial"/>
      <w:b/>
      <w:bCs/>
      <w:color w:val="FF0000"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Arial" w:hAnsi="Arial"/>
      <w:b w:val="0"/>
      <w:bCs/>
      <w:color w:val="FF000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Arial" w:hAnsi="Arial"/>
      <w:b w:val="0"/>
      <w:bCs/>
      <w:color w:val="FF000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Arial" w:hAnsi="Arial"/>
      <w:b w:val="0"/>
      <w:bCs/>
      <w:color w:val="FF000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rFonts w:ascii="Arial" w:hAnsi="Arial"/>
      <w:b w:val="0"/>
      <w:bCs/>
      <w:color w:val="FF000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rFonts w:ascii="Arial" w:hAnsi="Arial"/>
      <w:b w:val="0"/>
      <w:bCs/>
      <w:color w:val="FF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B7"/>
    <w:rPr>
      <w:rFonts w:ascii="Segoe UI" w:hAnsi="Segoe UI" w:cs="Segoe UI"/>
      <w:bCs/>
      <w:sz w:val="18"/>
      <w:szCs w:val="18"/>
    </w:rPr>
  </w:style>
  <w:style w:type="paragraph" w:customStyle="1" w:styleId="nagwek20">
    <w:name w:val="nagłówek2"/>
    <w:basedOn w:val="Nagwek1"/>
    <w:link w:val="nagwek2Znak0"/>
    <w:qFormat/>
    <w:rsid w:val="00E34E6D"/>
    <w:pPr>
      <w:spacing w:before="120" w:after="60"/>
      <w:outlineLvl w:val="1"/>
    </w:pPr>
  </w:style>
  <w:style w:type="paragraph" w:customStyle="1" w:styleId="nagwek3">
    <w:name w:val="nagłówek3"/>
    <w:basedOn w:val="nagwek20"/>
    <w:link w:val="nagwek3Znak"/>
    <w:qFormat/>
    <w:rsid w:val="00E95BFF"/>
    <w:pPr>
      <w:outlineLvl w:val="2"/>
    </w:pPr>
  </w:style>
  <w:style w:type="character" w:customStyle="1" w:styleId="nagwek2Znak0">
    <w:name w:val="nagłówek2 Znak"/>
    <w:basedOn w:val="Nagwek1Znak"/>
    <w:link w:val="nagwek20"/>
    <w:rsid w:val="00E34E6D"/>
    <w:rPr>
      <w:b/>
      <w:sz w:val="24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192C"/>
    <w:pPr>
      <w:keepNext/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3 Znak"/>
    <w:basedOn w:val="nagwek2Znak0"/>
    <w:link w:val="nagwek3"/>
    <w:rsid w:val="00E95BFF"/>
    <w:rPr>
      <w:b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40832"/>
    <w:pPr>
      <w:tabs>
        <w:tab w:val="right" w:leader="dot" w:pos="9627"/>
      </w:tabs>
      <w:spacing w:after="100"/>
      <w:ind w:left="113"/>
    </w:pPr>
    <w:rPr>
      <w:b/>
      <w:bCs w:val="0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40832"/>
    <w:pPr>
      <w:tabs>
        <w:tab w:val="right" w:leader="dot" w:pos="9627"/>
      </w:tabs>
      <w:spacing w:after="60"/>
      <w:ind w:left="454"/>
    </w:pPr>
    <w:rPr>
      <w:noProof/>
      <w:sz w:val="21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40832"/>
    <w:pPr>
      <w:tabs>
        <w:tab w:val="left" w:pos="880"/>
        <w:tab w:val="right" w:leader="dot" w:pos="9627"/>
      </w:tabs>
      <w:spacing w:before="120" w:after="120" w:line="240" w:lineRule="auto"/>
      <w:ind w:left="240"/>
    </w:pPr>
  </w:style>
  <w:style w:type="character" w:styleId="Hipercze">
    <w:name w:val="Hyperlink"/>
    <w:basedOn w:val="Domylnaczcionkaakapitu"/>
    <w:uiPriority w:val="99"/>
    <w:unhideWhenUsed/>
    <w:rsid w:val="00B3192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9006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8D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8D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D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8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54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48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154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48E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rasmusplus.zut.edu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C446B87-E6B4-47F1-A00E-C031D4755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5199</Words>
  <Characters>31195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7 Rektora ZUT z dnia 13 kwietnia 2021 r. w sprawie Procedury zatrudniania oraz przebiegu rozwoju zawodowego pracowników Zachodniopomorskiego Uniwersytetu Technologicznego w Szczecinie</dc:title>
  <dc:subject/>
  <dc:creator>Pasturczak</dc:creator>
  <cp:keywords/>
  <dc:description/>
  <cp:lastModifiedBy>Gabriela Pasturczak</cp:lastModifiedBy>
  <cp:revision>14</cp:revision>
  <cp:lastPrinted>2021-04-13T10:18:00Z</cp:lastPrinted>
  <dcterms:created xsi:type="dcterms:W3CDTF">2021-04-13T10:09:00Z</dcterms:created>
  <dcterms:modified xsi:type="dcterms:W3CDTF">2021-04-14T08:52:00Z</dcterms:modified>
</cp:coreProperties>
</file>