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49F" w14:textId="2FBF84AD" w:rsidR="006F6106" w:rsidRPr="009F01B7" w:rsidRDefault="009F01B7" w:rsidP="00A6419A">
      <w:pPr>
        <w:pStyle w:val="Tytu"/>
        <w:spacing w:after="0"/>
        <w:jc w:val="center"/>
      </w:pPr>
      <w:r w:rsidRPr="009F01B7">
        <w:t>Z</w:t>
      </w:r>
      <w:r w:rsidR="00A6419A">
        <w:t>ARZĄDZENIE NR</w:t>
      </w:r>
      <w:r>
        <w:rPr>
          <w:rStyle w:val="TytuZnak"/>
          <w:b/>
        </w:rPr>
        <w:t xml:space="preserve"> </w:t>
      </w:r>
      <w:r w:rsidR="008B3077">
        <w:rPr>
          <w:rStyle w:val="TytuZnak"/>
          <w:b/>
        </w:rPr>
        <w:t>19</w:t>
      </w:r>
    </w:p>
    <w:p w14:paraId="195C7F0E" w14:textId="72B75848" w:rsidR="009F01B7" w:rsidRDefault="009F01B7" w:rsidP="009F01B7">
      <w:pPr>
        <w:pStyle w:val="Nagwek1"/>
        <w:jc w:val="center"/>
      </w:pPr>
      <w:r>
        <w:t xml:space="preserve">Rektora Zachodniopomorskiego Uniwersytetu Technologicznego w Szczecinie </w:t>
      </w:r>
      <w:r w:rsidR="00A6419A">
        <w:br/>
      </w:r>
      <w:r>
        <w:t xml:space="preserve">z dnia </w:t>
      </w:r>
      <w:r w:rsidR="008B3077">
        <w:t>5</w:t>
      </w:r>
      <w:r w:rsidR="007844B1">
        <w:t xml:space="preserve"> marca</w:t>
      </w:r>
      <w:r>
        <w:t xml:space="preserve"> 2024 r.</w:t>
      </w:r>
    </w:p>
    <w:p w14:paraId="419C5053" w14:textId="608F6736" w:rsidR="009F01B7" w:rsidRDefault="009F01B7" w:rsidP="00562E08">
      <w:pPr>
        <w:pStyle w:val="Nagwek2"/>
        <w:jc w:val="center"/>
      </w:pPr>
      <w:r>
        <w:t xml:space="preserve">zmieniające zarządzenie nr </w:t>
      </w:r>
      <w:r w:rsidR="00B44E3C">
        <w:t>153</w:t>
      </w:r>
      <w:r w:rsidR="00562E08">
        <w:t xml:space="preserve"> z dnia </w:t>
      </w:r>
      <w:r w:rsidR="00562E08" w:rsidRPr="00562E08">
        <w:t>8 października 2020 r</w:t>
      </w:r>
      <w:r w:rsidR="00562E08">
        <w:t>.</w:t>
      </w:r>
      <w:r>
        <w:t xml:space="preserve"> </w:t>
      </w:r>
      <w:r w:rsidR="00301918">
        <w:br/>
      </w:r>
      <w:r>
        <w:t xml:space="preserve">w sprawie powołania </w:t>
      </w:r>
      <w:bookmarkStart w:id="0" w:name="_Hlk156213610"/>
      <w:r>
        <w:t xml:space="preserve">komisji ds. oceny okresowej nauczycieli akademickich </w:t>
      </w:r>
      <w:r w:rsidR="00301918">
        <w:br/>
      </w:r>
      <w:r>
        <w:t xml:space="preserve">oraz uczelnianej komisji odwoławczej do rozpatrywania odwołań pracowników </w:t>
      </w:r>
      <w:r w:rsidR="00301918">
        <w:br/>
      </w:r>
      <w:r>
        <w:t>od oceny komisji oceniających na kadencję 2020</w:t>
      </w:r>
      <w:r w:rsidR="00560932">
        <w:t>–</w:t>
      </w:r>
      <w:r>
        <w:t>2024</w:t>
      </w:r>
    </w:p>
    <w:bookmarkEnd w:id="0"/>
    <w:p w14:paraId="1D05C552" w14:textId="0C6AAD81" w:rsidR="00C02D8E" w:rsidRPr="000C74E8" w:rsidRDefault="00C02D8E" w:rsidP="00C02D8E">
      <w:pPr>
        <w:spacing w:before="240" w:after="0"/>
        <w:rPr>
          <w:rFonts w:cs="Times New Roman"/>
          <w:szCs w:val="24"/>
        </w:rPr>
      </w:pPr>
      <w:r w:rsidRPr="000C74E8">
        <w:rPr>
          <w:rFonts w:cs="Times New Roman"/>
          <w:szCs w:val="24"/>
        </w:rPr>
        <w:t>Na podstawie art. 23 ustawy z dnia 20 lipca 2018 r. Prawo o szkolnictwie wyższym i nauce (tekst jedn. Dz. U. z 202</w:t>
      </w:r>
      <w:r w:rsidR="00301918">
        <w:rPr>
          <w:rFonts w:cs="Times New Roman"/>
          <w:szCs w:val="24"/>
        </w:rPr>
        <w:t>3</w:t>
      </w:r>
      <w:r w:rsidRPr="000C74E8">
        <w:rPr>
          <w:rFonts w:cs="Times New Roman"/>
          <w:szCs w:val="24"/>
        </w:rPr>
        <w:t xml:space="preserve"> r. poz. </w:t>
      </w:r>
      <w:r w:rsidR="00301918">
        <w:rPr>
          <w:rFonts w:cs="Times New Roman"/>
          <w:szCs w:val="24"/>
        </w:rPr>
        <w:t>742</w:t>
      </w:r>
      <w:r w:rsidRPr="000C74E8">
        <w:rPr>
          <w:rFonts w:cs="Times New Roman"/>
          <w:szCs w:val="24"/>
        </w:rPr>
        <w:t>, z późn. zm.) w związku z § 4 ust. 2,</w:t>
      </w:r>
      <w:r>
        <w:rPr>
          <w:rFonts w:cs="Times New Roman"/>
          <w:szCs w:val="24"/>
        </w:rPr>
        <w:t xml:space="preserve"> </w:t>
      </w:r>
      <w:r w:rsidRPr="000C74E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oraz </w:t>
      </w:r>
      <w:r w:rsidRPr="000C74E8">
        <w:rPr>
          <w:rFonts w:cs="Times New Roman"/>
          <w:szCs w:val="24"/>
        </w:rPr>
        <w:t xml:space="preserve">4 </w:t>
      </w:r>
      <w:r>
        <w:rPr>
          <w:rFonts w:cs="Times New Roman"/>
          <w:szCs w:val="24"/>
        </w:rPr>
        <w:t>z</w:t>
      </w:r>
      <w:r w:rsidRPr="000C74E8">
        <w:rPr>
          <w:rFonts w:cs="Times New Roman"/>
          <w:szCs w:val="24"/>
        </w:rPr>
        <w:t xml:space="preserve">arządzenia nr 126 </w:t>
      </w:r>
      <w:r w:rsidRPr="005A76F2">
        <w:rPr>
          <w:rFonts w:cs="Times New Roman"/>
          <w:spacing w:val="-4"/>
          <w:szCs w:val="24"/>
        </w:rPr>
        <w:t>Rektora ZUT z dnia 19 grudnia 2019 r. w sprawie kryteriów okresowej oceny nauczycieli akademickich</w:t>
      </w:r>
      <w:r w:rsidRPr="000C74E8">
        <w:rPr>
          <w:rFonts w:cs="Times New Roman"/>
          <w:szCs w:val="24"/>
        </w:rPr>
        <w:t xml:space="preserve"> </w:t>
      </w:r>
      <w:r w:rsidRPr="005A76F2">
        <w:rPr>
          <w:rFonts w:cs="Times New Roman"/>
          <w:spacing w:val="-4"/>
          <w:szCs w:val="24"/>
        </w:rPr>
        <w:t>oraz trybu i podmiotu dokonujących oceny okresowej nauczycieli akademickich od roku 2020 (z</w:t>
      </w:r>
      <w:r w:rsidR="005A76F2" w:rsidRPr="005A76F2">
        <w:rPr>
          <w:rFonts w:cs="Times New Roman"/>
          <w:spacing w:val="-4"/>
          <w:szCs w:val="24"/>
        </w:rPr>
        <w:t> </w:t>
      </w:r>
      <w:r w:rsidRPr="005A76F2">
        <w:rPr>
          <w:rFonts w:cs="Times New Roman"/>
          <w:spacing w:val="-4"/>
          <w:szCs w:val="24"/>
        </w:rPr>
        <w:t>późn. zm.)</w:t>
      </w:r>
      <w:r w:rsidRPr="000C74E8">
        <w:rPr>
          <w:rFonts w:cs="Times New Roman"/>
          <w:szCs w:val="24"/>
        </w:rPr>
        <w:t xml:space="preserve"> zarządza się, co następuje:</w:t>
      </w:r>
    </w:p>
    <w:p w14:paraId="282E0B89" w14:textId="77777777" w:rsidR="00470271" w:rsidRDefault="00470271" w:rsidP="005A76F2">
      <w:pPr>
        <w:pStyle w:val="Zwykytekst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76A7C7A" w14:textId="55F048F2" w:rsidR="00BA44EF" w:rsidRPr="006E0158" w:rsidRDefault="00BA44EF" w:rsidP="00E22911">
      <w:pPr>
        <w:spacing w:after="0"/>
        <w:outlineLvl w:val="0"/>
        <w:rPr>
          <w:rFonts w:eastAsia="Times New Roman" w:cs="Times New Roman"/>
          <w:bCs/>
          <w:kern w:val="0"/>
          <w:szCs w:val="24"/>
          <w:lang w:eastAsia="pl-PL"/>
          <w14:ligatures w14:val="none"/>
        </w:rPr>
      </w:pP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W zarządzeniu nr 1</w:t>
      </w:r>
      <w:r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53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Rektora ZUT z dnia </w:t>
      </w:r>
      <w:r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8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</w:t>
      </w:r>
      <w:r w:rsidR="006E0158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października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2020 r. </w:t>
      </w:r>
      <w:r w:rsidR="006E0158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w sprawie powołania 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komisji</w:t>
      </w:r>
      <w:r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ds. oceny okresowej nauczycieli akademickich oraz uczelnianej komisji odwoławczej do rozpatrywania odwołań pracowników od oceny komisji oceniających na kadencję 2020–2024 (z późn.zm.) w § 1</w:t>
      </w:r>
      <w:r w:rsidR="006E0158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</w:t>
      </w:r>
      <w:r w:rsidR="00E22911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w</w:t>
      </w:r>
      <w:r w:rsidR="00E22911">
        <w:t> składach wydziałowych k</w:t>
      </w:r>
      <w:r w:rsidR="00E22911" w:rsidRPr="00DD21C7">
        <w:t>omisj</w:t>
      </w:r>
      <w:r w:rsidR="00E22911">
        <w:t>i</w:t>
      </w:r>
      <w:r w:rsidR="00E22911" w:rsidRPr="00DD21C7">
        <w:t xml:space="preserve"> ds. oceny okresowej nauczycieli akademickich</w:t>
      </w:r>
      <w:r w:rsidR="00E22911">
        <w:t xml:space="preserve"> </w:t>
      </w:r>
      <w:r w:rsidR="00E22911"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wprowadza się zmiany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:</w:t>
      </w:r>
    </w:p>
    <w:p w14:paraId="7934B421" w14:textId="69D19B54" w:rsidR="00530582" w:rsidRDefault="00E22911" w:rsidP="00E22911">
      <w:pPr>
        <w:pStyle w:val="Akapitzlist"/>
        <w:numPr>
          <w:ilvl w:val="0"/>
          <w:numId w:val="5"/>
        </w:numPr>
        <w:spacing w:after="0"/>
        <w:ind w:left="340" w:hanging="340"/>
      </w:pPr>
      <w:bookmarkStart w:id="1" w:name="_Hlk155950724"/>
      <w:r>
        <w:t>w</w:t>
      </w:r>
      <w:r w:rsidR="00301918">
        <w:t xml:space="preserve"> pkt </w:t>
      </w:r>
      <w:r w:rsidR="00EF7DF4">
        <w:t>1</w:t>
      </w:r>
      <w:r w:rsidR="00301918">
        <w:t xml:space="preserve"> – Wydział </w:t>
      </w:r>
      <w:r w:rsidR="00EF7DF4">
        <w:t>Architektury</w:t>
      </w:r>
      <w:r w:rsidR="00301918">
        <w:t>:</w:t>
      </w:r>
    </w:p>
    <w:p w14:paraId="1568C7D3" w14:textId="31ADF249" w:rsidR="00ED68A8" w:rsidRDefault="00DD21C7" w:rsidP="00E22911">
      <w:pPr>
        <w:pStyle w:val="Akapitzlist"/>
        <w:numPr>
          <w:ilvl w:val="1"/>
          <w:numId w:val="5"/>
        </w:numPr>
        <w:spacing w:after="0"/>
        <w:ind w:left="680" w:hanging="340"/>
      </w:pPr>
      <w:r>
        <w:t>odwołuje się</w:t>
      </w:r>
      <w:r w:rsidR="006E0158">
        <w:t>:</w:t>
      </w:r>
    </w:p>
    <w:bookmarkEnd w:id="1"/>
    <w:p w14:paraId="7D469789" w14:textId="32651B78" w:rsidR="00ED68A8" w:rsidRDefault="004F5E58" w:rsidP="00E22911">
      <w:pPr>
        <w:pStyle w:val="Akapitzlist"/>
        <w:numPr>
          <w:ilvl w:val="0"/>
          <w:numId w:val="15"/>
        </w:numPr>
        <w:spacing w:after="0"/>
        <w:ind w:left="1020" w:hanging="340"/>
      </w:pPr>
      <w:r>
        <w:t>dr hab. inż. arch. Krystynę Januszkiewicz, prof. ZUT</w:t>
      </w:r>
      <w:r w:rsidR="006D4087">
        <w:t>,</w:t>
      </w:r>
    </w:p>
    <w:p w14:paraId="0CAA710A" w14:textId="11DB73DA" w:rsidR="00ED68A8" w:rsidRDefault="004F5E58" w:rsidP="00E22911">
      <w:pPr>
        <w:pStyle w:val="Akapitzlist"/>
        <w:numPr>
          <w:ilvl w:val="0"/>
          <w:numId w:val="15"/>
        </w:numPr>
        <w:spacing w:after="0"/>
        <w:ind w:left="1020" w:hanging="340"/>
      </w:pPr>
      <w:bookmarkStart w:id="2" w:name="_Hlk160526534"/>
      <w:r>
        <w:t>dr hab. Bogusławę Koszałkę, prof. ZUT</w:t>
      </w:r>
      <w:bookmarkEnd w:id="2"/>
      <w:r w:rsidR="00E22911">
        <w:t>,</w:t>
      </w:r>
    </w:p>
    <w:p w14:paraId="23521FDA" w14:textId="1542E3E6" w:rsidR="00AF4F68" w:rsidRDefault="00ED68A8" w:rsidP="00E22911">
      <w:pPr>
        <w:pStyle w:val="Akapitzlist"/>
        <w:numPr>
          <w:ilvl w:val="1"/>
          <w:numId w:val="5"/>
        </w:numPr>
        <w:spacing w:after="0"/>
        <w:ind w:left="680" w:hanging="340"/>
      </w:pPr>
      <w:r>
        <w:t>p</w:t>
      </w:r>
      <w:r w:rsidR="00CC4C80">
        <w:t>owołuje się</w:t>
      </w:r>
      <w:r w:rsidR="00301918">
        <w:t>:</w:t>
      </w:r>
    </w:p>
    <w:p w14:paraId="69E1B2B9" w14:textId="280DC935" w:rsidR="00EF7DF4" w:rsidRDefault="004F5E58" w:rsidP="00E22911">
      <w:pPr>
        <w:pStyle w:val="Akapitzlist"/>
        <w:numPr>
          <w:ilvl w:val="0"/>
          <w:numId w:val="15"/>
        </w:numPr>
        <w:spacing w:after="0"/>
        <w:ind w:left="1020" w:hanging="340"/>
      </w:pPr>
      <w:bookmarkStart w:id="3" w:name="_Hlk160526699"/>
      <w:r>
        <w:t>dr. hab. inż. arch. Piotra Fiuka, prof. ZUT</w:t>
      </w:r>
      <w:bookmarkEnd w:id="3"/>
      <w:r w:rsidR="006D4087">
        <w:t>,</w:t>
      </w:r>
    </w:p>
    <w:p w14:paraId="28DA809B" w14:textId="38D67FBC" w:rsidR="00EF7DF4" w:rsidRDefault="004F5E58" w:rsidP="00E22911">
      <w:pPr>
        <w:pStyle w:val="Akapitzlist"/>
        <w:numPr>
          <w:ilvl w:val="0"/>
          <w:numId w:val="15"/>
        </w:numPr>
        <w:spacing w:after="0"/>
        <w:ind w:left="1020" w:hanging="340"/>
      </w:pPr>
      <w:bookmarkStart w:id="4" w:name="_Hlk160526751"/>
      <w:r>
        <w:t>dr hab. Renatę Jackowiak, prof. ZUT</w:t>
      </w:r>
      <w:bookmarkEnd w:id="4"/>
      <w:r w:rsidR="00E22911">
        <w:t>;</w:t>
      </w:r>
    </w:p>
    <w:p w14:paraId="3684AD24" w14:textId="73B1883C" w:rsidR="00EF7DF4" w:rsidRDefault="00E22911" w:rsidP="00E22911">
      <w:pPr>
        <w:pStyle w:val="Akapitzlist"/>
        <w:numPr>
          <w:ilvl w:val="0"/>
          <w:numId w:val="5"/>
        </w:numPr>
        <w:spacing w:after="0"/>
        <w:ind w:left="340" w:hanging="340"/>
      </w:pPr>
      <w:r>
        <w:t>w</w:t>
      </w:r>
      <w:r w:rsidR="00EF7DF4">
        <w:t xml:space="preserve"> pkt 7 – Wydział Inżynierii Mechanicznej i Mechatroniki:</w:t>
      </w:r>
    </w:p>
    <w:p w14:paraId="060054C2" w14:textId="39740BA2" w:rsidR="00EF7DF4" w:rsidRDefault="00EF7DF4" w:rsidP="00E22911">
      <w:pPr>
        <w:pStyle w:val="Akapitzlist"/>
        <w:numPr>
          <w:ilvl w:val="0"/>
          <w:numId w:val="22"/>
        </w:numPr>
        <w:spacing w:after="0"/>
        <w:ind w:left="680" w:hanging="340"/>
      </w:pPr>
      <w:r>
        <w:t>odwołuje się</w:t>
      </w:r>
      <w:r w:rsidR="00E22911">
        <w:t xml:space="preserve"> </w:t>
      </w:r>
      <w:r>
        <w:t>dr. inż. Grzegorza Leńca</w:t>
      </w:r>
      <w:r w:rsidR="00E22911">
        <w:t>,</w:t>
      </w:r>
    </w:p>
    <w:p w14:paraId="2B95FF6F" w14:textId="391D00A2" w:rsidR="00EF7DF4" w:rsidRDefault="00EF7DF4" w:rsidP="00E22911">
      <w:pPr>
        <w:pStyle w:val="Akapitzlist"/>
        <w:numPr>
          <w:ilvl w:val="0"/>
          <w:numId w:val="22"/>
        </w:numPr>
        <w:spacing w:after="0"/>
        <w:ind w:left="680" w:hanging="340"/>
      </w:pPr>
      <w:r>
        <w:t>powołuje się</w:t>
      </w:r>
      <w:r w:rsidR="00E22911">
        <w:t xml:space="preserve"> </w:t>
      </w:r>
      <w:bookmarkStart w:id="5" w:name="_Hlk160526799"/>
      <w:r>
        <w:t>dr inż. Agnieszkę Terelak-Tymczynę</w:t>
      </w:r>
      <w:bookmarkEnd w:id="5"/>
      <w:r>
        <w:t>.</w:t>
      </w:r>
    </w:p>
    <w:p w14:paraId="4B13C0AA" w14:textId="23667947" w:rsidR="0028705C" w:rsidRPr="0028705C" w:rsidRDefault="0028705C" w:rsidP="00E22911">
      <w:pPr>
        <w:pStyle w:val="Zwykytekst"/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74E8">
        <w:rPr>
          <w:rFonts w:ascii="Times New Roman" w:hAnsi="Times New Roman" w:cs="Times New Roman"/>
          <w:b/>
          <w:sz w:val="24"/>
          <w:szCs w:val="24"/>
        </w:rPr>
        <w:t>.</w:t>
      </w:r>
    </w:p>
    <w:p w14:paraId="1EDED7A0" w14:textId="1CBAB9B3" w:rsidR="0094267C" w:rsidRDefault="0028705C" w:rsidP="00470271">
      <w:r>
        <w:t>Zarządzenie wchodzi w życie z dniem podpisania.</w:t>
      </w:r>
    </w:p>
    <w:tbl>
      <w:tblPr>
        <w:tblStyle w:val="Tabela-Siatk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6D4087" w14:paraId="34838FCF" w14:textId="77777777" w:rsidTr="008A49E3">
        <w:trPr>
          <w:trHeight w:val="300"/>
        </w:trPr>
        <w:tc>
          <w:tcPr>
            <w:tcW w:w="4530" w:type="dxa"/>
          </w:tcPr>
          <w:p w14:paraId="37A4F574" w14:textId="77777777" w:rsidR="006D4087" w:rsidRDefault="006D4087" w:rsidP="008A49E3"/>
        </w:tc>
        <w:tc>
          <w:tcPr>
            <w:tcW w:w="4530" w:type="dxa"/>
          </w:tcPr>
          <w:p w14:paraId="4E6930D7" w14:textId="77777777" w:rsidR="006D4087" w:rsidRDefault="006D4087" w:rsidP="005A76F2">
            <w:pPr>
              <w:spacing w:before="120"/>
              <w:jc w:val="center"/>
            </w:pPr>
            <w:r>
              <w:t>Rektor</w:t>
            </w:r>
          </w:p>
        </w:tc>
      </w:tr>
      <w:tr w:rsidR="006D4087" w14:paraId="6EDFCAD6" w14:textId="77777777" w:rsidTr="006D4087">
        <w:trPr>
          <w:trHeight w:val="704"/>
        </w:trPr>
        <w:tc>
          <w:tcPr>
            <w:tcW w:w="4530" w:type="dxa"/>
          </w:tcPr>
          <w:p w14:paraId="3630BAA9" w14:textId="77777777" w:rsidR="006D4087" w:rsidRDefault="006D4087" w:rsidP="008A49E3"/>
        </w:tc>
        <w:tc>
          <w:tcPr>
            <w:tcW w:w="4530" w:type="dxa"/>
          </w:tcPr>
          <w:p w14:paraId="0675C3A8" w14:textId="77777777" w:rsidR="006D4087" w:rsidRDefault="006D4087" w:rsidP="008A49E3"/>
        </w:tc>
      </w:tr>
      <w:tr w:rsidR="006D4087" w14:paraId="72F83573" w14:textId="77777777" w:rsidTr="008A49E3">
        <w:trPr>
          <w:trHeight w:val="300"/>
        </w:trPr>
        <w:tc>
          <w:tcPr>
            <w:tcW w:w="4530" w:type="dxa"/>
          </w:tcPr>
          <w:p w14:paraId="1A756689" w14:textId="77777777" w:rsidR="006D4087" w:rsidRDefault="006D4087" w:rsidP="008A49E3"/>
        </w:tc>
        <w:tc>
          <w:tcPr>
            <w:tcW w:w="4530" w:type="dxa"/>
          </w:tcPr>
          <w:p w14:paraId="24EB53BD" w14:textId="77777777" w:rsidR="006D4087" w:rsidRDefault="006D4087" w:rsidP="008A49E3">
            <w:pPr>
              <w:jc w:val="center"/>
            </w:pPr>
            <w:r>
              <w:t>dr hab. inż. Jacek Wróbel, prof. ZUT</w:t>
            </w:r>
          </w:p>
        </w:tc>
      </w:tr>
    </w:tbl>
    <w:p w14:paraId="0381206F" w14:textId="77777777" w:rsidR="006D4087" w:rsidRPr="00470271" w:rsidRDefault="006D4087" w:rsidP="00470271"/>
    <w:sectPr w:rsidR="006D4087" w:rsidRPr="00470271" w:rsidSect="00235148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5E"/>
    <w:multiLevelType w:val="hybridMultilevel"/>
    <w:tmpl w:val="023C1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667"/>
    <w:multiLevelType w:val="hybridMultilevel"/>
    <w:tmpl w:val="2676D0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0D90"/>
    <w:multiLevelType w:val="hybridMultilevel"/>
    <w:tmpl w:val="FDF67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6F7"/>
    <w:multiLevelType w:val="hybridMultilevel"/>
    <w:tmpl w:val="CD2A40FE"/>
    <w:lvl w:ilvl="0" w:tplc="04150011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14B343F4"/>
    <w:multiLevelType w:val="hybridMultilevel"/>
    <w:tmpl w:val="70E43A58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045330"/>
    <w:multiLevelType w:val="hybridMultilevel"/>
    <w:tmpl w:val="63F2B8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96636"/>
    <w:multiLevelType w:val="hybridMultilevel"/>
    <w:tmpl w:val="F148F66C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DF65AB"/>
    <w:multiLevelType w:val="hybridMultilevel"/>
    <w:tmpl w:val="48E4DE0E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FB0981"/>
    <w:multiLevelType w:val="hybridMultilevel"/>
    <w:tmpl w:val="8B9450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4233091"/>
    <w:multiLevelType w:val="hybridMultilevel"/>
    <w:tmpl w:val="CA8E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44513"/>
    <w:multiLevelType w:val="hybridMultilevel"/>
    <w:tmpl w:val="3ED608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76BF4"/>
    <w:multiLevelType w:val="hybridMultilevel"/>
    <w:tmpl w:val="85A45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4E1"/>
    <w:multiLevelType w:val="hybridMultilevel"/>
    <w:tmpl w:val="64A2F9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E7EBD0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03CC0"/>
    <w:multiLevelType w:val="hybridMultilevel"/>
    <w:tmpl w:val="B9B633E6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22780F"/>
    <w:multiLevelType w:val="hybridMultilevel"/>
    <w:tmpl w:val="66041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245F"/>
    <w:multiLevelType w:val="hybridMultilevel"/>
    <w:tmpl w:val="D6B8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475F0"/>
    <w:multiLevelType w:val="hybridMultilevel"/>
    <w:tmpl w:val="1AB86D26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78006E"/>
    <w:multiLevelType w:val="hybridMultilevel"/>
    <w:tmpl w:val="3F7CC4DC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0B3D4A"/>
    <w:multiLevelType w:val="hybridMultilevel"/>
    <w:tmpl w:val="04CC4230"/>
    <w:lvl w:ilvl="0" w:tplc="FE7EBD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007F6"/>
    <w:multiLevelType w:val="hybridMultilevel"/>
    <w:tmpl w:val="0D828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7481E"/>
    <w:multiLevelType w:val="hybridMultilevel"/>
    <w:tmpl w:val="B72ED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510F0"/>
    <w:multiLevelType w:val="hybridMultilevel"/>
    <w:tmpl w:val="EADC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93611">
    <w:abstractNumId w:val="19"/>
  </w:num>
  <w:num w:numId="2" w16cid:durableId="1797747388">
    <w:abstractNumId w:val="20"/>
  </w:num>
  <w:num w:numId="3" w16cid:durableId="2069301837">
    <w:abstractNumId w:val="14"/>
  </w:num>
  <w:num w:numId="4" w16cid:durableId="115952402">
    <w:abstractNumId w:val="10"/>
  </w:num>
  <w:num w:numId="5" w16cid:durableId="656810210">
    <w:abstractNumId w:val="12"/>
  </w:num>
  <w:num w:numId="6" w16cid:durableId="1118331437">
    <w:abstractNumId w:val="3"/>
  </w:num>
  <w:num w:numId="7" w16cid:durableId="408507653">
    <w:abstractNumId w:val="15"/>
  </w:num>
  <w:num w:numId="8" w16cid:durableId="1508670507">
    <w:abstractNumId w:val="1"/>
  </w:num>
  <w:num w:numId="9" w16cid:durableId="1543248985">
    <w:abstractNumId w:val="9"/>
  </w:num>
  <w:num w:numId="10" w16cid:durableId="989988939">
    <w:abstractNumId w:val="17"/>
  </w:num>
  <w:num w:numId="11" w16cid:durableId="861362959">
    <w:abstractNumId w:val="4"/>
  </w:num>
  <w:num w:numId="12" w16cid:durableId="1464352465">
    <w:abstractNumId w:val="6"/>
  </w:num>
  <w:num w:numId="13" w16cid:durableId="504705428">
    <w:abstractNumId w:val="8"/>
  </w:num>
  <w:num w:numId="14" w16cid:durableId="1574775198">
    <w:abstractNumId w:val="11"/>
  </w:num>
  <w:num w:numId="15" w16cid:durableId="1025057278">
    <w:abstractNumId w:val="13"/>
  </w:num>
  <w:num w:numId="16" w16cid:durableId="238367413">
    <w:abstractNumId w:val="0"/>
  </w:num>
  <w:num w:numId="17" w16cid:durableId="1829202978">
    <w:abstractNumId w:val="7"/>
  </w:num>
  <w:num w:numId="18" w16cid:durableId="2080860864">
    <w:abstractNumId w:val="5"/>
  </w:num>
  <w:num w:numId="19" w16cid:durableId="679430217">
    <w:abstractNumId w:val="18"/>
  </w:num>
  <w:num w:numId="20" w16cid:durableId="458496119">
    <w:abstractNumId w:val="16"/>
  </w:num>
  <w:num w:numId="21" w16cid:durableId="794715633">
    <w:abstractNumId w:val="2"/>
  </w:num>
  <w:num w:numId="22" w16cid:durableId="16677796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B7"/>
    <w:rsid w:val="000923CC"/>
    <w:rsid w:val="000B2350"/>
    <w:rsid w:val="000C64CB"/>
    <w:rsid w:val="000D5E63"/>
    <w:rsid w:val="00195241"/>
    <w:rsid w:val="001E05DE"/>
    <w:rsid w:val="001F6819"/>
    <w:rsid w:val="00235148"/>
    <w:rsid w:val="0028705C"/>
    <w:rsid w:val="002F390C"/>
    <w:rsid w:val="00301918"/>
    <w:rsid w:val="00344CE5"/>
    <w:rsid w:val="003F5D3E"/>
    <w:rsid w:val="00401E71"/>
    <w:rsid w:val="00470271"/>
    <w:rsid w:val="004E5647"/>
    <w:rsid w:val="004F5E58"/>
    <w:rsid w:val="00500B07"/>
    <w:rsid w:val="00524E6B"/>
    <w:rsid w:val="00530582"/>
    <w:rsid w:val="0055402F"/>
    <w:rsid w:val="00560932"/>
    <w:rsid w:val="00562E08"/>
    <w:rsid w:val="00585699"/>
    <w:rsid w:val="005A76F2"/>
    <w:rsid w:val="005B33AE"/>
    <w:rsid w:val="00602DB1"/>
    <w:rsid w:val="00645F39"/>
    <w:rsid w:val="006676FF"/>
    <w:rsid w:val="00682CDE"/>
    <w:rsid w:val="006D4087"/>
    <w:rsid w:val="006E0158"/>
    <w:rsid w:val="006F6106"/>
    <w:rsid w:val="007023C2"/>
    <w:rsid w:val="0074281C"/>
    <w:rsid w:val="007844B1"/>
    <w:rsid w:val="00890EEB"/>
    <w:rsid w:val="008A290A"/>
    <w:rsid w:val="008B3077"/>
    <w:rsid w:val="008D4E6A"/>
    <w:rsid w:val="008E381E"/>
    <w:rsid w:val="00923811"/>
    <w:rsid w:val="0094267C"/>
    <w:rsid w:val="009932B3"/>
    <w:rsid w:val="009C19D5"/>
    <w:rsid w:val="009D3898"/>
    <w:rsid w:val="009F01B7"/>
    <w:rsid w:val="00A05637"/>
    <w:rsid w:val="00A25F2B"/>
    <w:rsid w:val="00A3134D"/>
    <w:rsid w:val="00A6419A"/>
    <w:rsid w:val="00A93BCD"/>
    <w:rsid w:val="00A9427B"/>
    <w:rsid w:val="00AF4F68"/>
    <w:rsid w:val="00B44E3C"/>
    <w:rsid w:val="00BA44EF"/>
    <w:rsid w:val="00C02D8E"/>
    <w:rsid w:val="00C12D1B"/>
    <w:rsid w:val="00CC4C80"/>
    <w:rsid w:val="00CD0ACD"/>
    <w:rsid w:val="00D25925"/>
    <w:rsid w:val="00D321CE"/>
    <w:rsid w:val="00D34FA4"/>
    <w:rsid w:val="00DB2317"/>
    <w:rsid w:val="00DD21C7"/>
    <w:rsid w:val="00E22911"/>
    <w:rsid w:val="00E25979"/>
    <w:rsid w:val="00E46B26"/>
    <w:rsid w:val="00E73DCD"/>
    <w:rsid w:val="00EA4826"/>
    <w:rsid w:val="00ED68A8"/>
    <w:rsid w:val="00EF7DF4"/>
    <w:rsid w:val="00F23683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9DF"/>
  <w15:chartTrackingRefBased/>
  <w15:docId w15:val="{4C24AC81-957A-417C-A649-8433A87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1B7"/>
    <w:pPr>
      <w:keepNext/>
      <w:keepLines/>
      <w:spacing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1B7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1B7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01B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F01B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01B7"/>
    <w:rPr>
      <w:rFonts w:ascii="Times New Roman" w:eastAsiaTheme="majorEastAsia" w:hAnsi="Times New Roman" w:cstheme="majorBidi"/>
      <w:b/>
      <w:sz w:val="24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470271"/>
    <w:pPr>
      <w:spacing w:after="0" w:line="240" w:lineRule="auto"/>
      <w:jc w:val="left"/>
    </w:pPr>
    <w:rPr>
      <w:rFonts w:ascii="Calibri" w:hAnsi="Calibri"/>
      <w:kern w:val="0"/>
      <w:sz w:val="22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271"/>
    <w:rPr>
      <w:rFonts w:ascii="Calibri" w:hAnsi="Calibri"/>
      <w:kern w:val="0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CC4C80"/>
    <w:pPr>
      <w:ind w:left="720"/>
      <w:contextualSpacing/>
    </w:pPr>
  </w:style>
  <w:style w:type="table" w:styleId="Tabela-Siatka">
    <w:name w:val="Table Grid"/>
    <w:basedOn w:val="Standardowy"/>
    <w:uiPriority w:val="59"/>
    <w:rsid w:val="006D4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 Rektora ZUT z dnia 5 marca 2024 r. zmieniające zarządzenie nr 153 z dnia 8 października 2020 r. w sprawie powołania komisji ds. oceny okresowej nauczycieli akademickich oraz uczelnianej komisji odwoławczej do rozpatrywania odwołań pracowników od oceny komisji oceniających na kadencję 2020–2024</dc:title>
  <dc:subject/>
  <dc:creator>Karina Olejarz</dc:creator>
  <cp:keywords/>
  <dc:description/>
  <cp:lastModifiedBy>Gabriela Pasturczak</cp:lastModifiedBy>
  <cp:revision>3</cp:revision>
  <cp:lastPrinted>2024-03-05T11:01:00Z</cp:lastPrinted>
  <dcterms:created xsi:type="dcterms:W3CDTF">2024-03-05T11:01:00Z</dcterms:created>
  <dcterms:modified xsi:type="dcterms:W3CDTF">2024-03-05T11:03:00Z</dcterms:modified>
</cp:coreProperties>
</file>