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FB02" w14:textId="39FAEA9A" w:rsidR="00DC4403" w:rsidRDefault="00DC4403" w:rsidP="007F7897">
      <w:pPr>
        <w:pStyle w:val="Tytu"/>
      </w:pPr>
      <w:r>
        <w:t xml:space="preserve">ZARZĄDZENIE NR </w:t>
      </w:r>
      <w:r w:rsidR="00BA0AF2">
        <w:t>7</w:t>
      </w:r>
    </w:p>
    <w:p w14:paraId="1DAB5232" w14:textId="77777777" w:rsidR="00DC4403" w:rsidRDefault="00DC4403" w:rsidP="0086682B">
      <w:pPr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Rektora Zachodniopomorskiego Uniwersytetu Technologicznego w Szczecinie</w:t>
      </w:r>
    </w:p>
    <w:p w14:paraId="65879C07" w14:textId="2E15E598" w:rsidR="006F6106" w:rsidRPr="0086682B" w:rsidRDefault="00DC4403" w:rsidP="00866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D2530F">
        <w:rPr>
          <w:rFonts w:ascii="Times New Roman" w:hAnsi="Times New Roman" w:cs="Times New Roman"/>
          <w:b/>
          <w:sz w:val="28"/>
          <w:szCs w:val="28"/>
        </w:rPr>
        <w:t>6</w:t>
      </w:r>
      <w:r w:rsidR="007F61BC" w:rsidRPr="003E761F">
        <w:rPr>
          <w:rFonts w:ascii="Times New Roman" w:hAnsi="Times New Roman" w:cs="Times New Roman"/>
          <w:b/>
          <w:sz w:val="28"/>
          <w:szCs w:val="28"/>
        </w:rPr>
        <w:t xml:space="preserve"> lutego</w:t>
      </w:r>
      <w:r w:rsidR="002B4D8C">
        <w:rPr>
          <w:rFonts w:ascii="Times New Roman" w:hAnsi="Times New Roman" w:cs="Times New Roman"/>
          <w:b/>
          <w:sz w:val="28"/>
          <w:szCs w:val="28"/>
        </w:rPr>
        <w:t xml:space="preserve"> 2024 r.</w:t>
      </w:r>
    </w:p>
    <w:p w14:paraId="5245AD8D" w14:textId="4348D5A7" w:rsidR="003C714C" w:rsidRDefault="0086682B" w:rsidP="002E0316">
      <w:pPr>
        <w:spacing w:before="200" w:after="200"/>
        <w:jc w:val="center"/>
        <w:rPr>
          <w:rFonts w:cs="Times"/>
          <w:b/>
          <w:bCs/>
          <w:szCs w:val="24"/>
        </w:rPr>
      </w:pPr>
      <w:r w:rsidRPr="0086682B">
        <w:rPr>
          <w:rFonts w:cs="Times"/>
          <w:b/>
          <w:bCs/>
          <w:szCs w:val="24"/>
        </w:rPr>
        <w:t>w sprawie określenia harmonogramu postępowania dotyczącego oceny okresowej</w:t>
      </w:r>
      <w:r w:rsidR="00512509">
        <w:rPr>
          <w:rFonts w:cs="Times"/>
          <w:b/>
          <w:bCs/>
          <w:szCs w:val="24"/>
        </w:rPr>
        <w:br/>
      </w:r>
      <w:r w:rsidRPr="0086682B">
        <w:rPr>
          <w:rFonts w:cs="Times"/>
          <w:b/>
          <w:bCs/>
          <w:szCs w:val="24"/>
        </w:rPr>
        <w:t>nauczycieli akademickich</w:t>
      </w:r>
      <w:r w:rsidR="007F61BC">
        <w:rPr>
          <w:rFonts w:cs="Times"/>
          <w:b/>
          <w:bCs/>
          <w:szCs w:val="24"/>
        </w:rPr>
        <w:t xml:space="preserve"> </w:t>
      </w:r>
      <w:r w:rsidRPr="0086682B">
        <w:rPr>
          <w:rFonts w:cs="Times"/>
          <w:b/>
          <w:bCs/>
          <w:szCs w:val="24"/>
        </w:rPr>
        <w:t xml:space="preserve">za </w:t>
      </w:r>
      <w:r w:rsidR="00C05936">
        <w:rPr>
          <w:rFonts w:cs="Times"/>
          <w:b/>
          <w:bCs/>
          <w:szCs w:val="24"/>
        </w:rPr>
        <w:t>lata 2020</w:t>
      </w:r>
      <w:r w:rsidR="00D534B5">
        <w:rPr>
          <w:rFonts w:cs="Times"/>
          <w:b/>
          <w:bCs/>
          <w:szCs w:val="24"/>
        </w:rPr>
        <w:t>–</w:t>
      </w:r>
      <w:r w:rsidR="00C05936">
        <w:rPr>
          <w:rFonts w:cs="Times"/>
          <w:b/>
          <w:bCs/>
          <w:szCs w:val="24"/>
        </w:rPr>
        <w:t>2023</w:t>
      </w:r>
    </w:p>
    <w:p w14:paraId="1EAE7429" w14:textId="04F751F3" w:rsidR="00614539" w:rsidRDefault="00614539" w:rsidP="007F61BC">
      <w:pPr>
        <w:spacing w:before="120" w:after="0"/>
      </w:pPr>
      <w:r w:rsidRPr="00614539">
        <w:t xml:space="preserve">Na podstawie art. 128 ust. 3 i 5 ustawy z dnia 20 lipca 2018 r. Prawo o szkolnictwie wyższym i nauce (tekst jedn. Dz. U. z 2023 r. poz. 742, z </w:t>
      </w:r>
      <w:r w:rsidR="004D4569" w:rsidRPr="00614539">
        <w:t>późn</w:t>
      </w:r>
      <w:r w:rsidRPr="00614539">
        <w:t>. zm.) w związku z zarządzeniem nr 126 Rektora ZUT z</w:t>
      </w:r>
      <w:r w:rsidR="002E0316">
        <w:t> </w:t>
      </w:r>
      <w:r w:rsidRPr="00614539">
        <w:t>dnia 19 grudnia 2019 r. w sprawie kryteriów oceny okresowej nauczycieli akademickich oraz trybu i podmiotów dokonujących oceny okresowej nauczycieli akademickich od roku 2020</w:t>
      </w:r>
      <w:r w:rsidR="00F73AF1">
        <w:t xml:space="preserve"> </w:t>
      </w:r>
      <w:r w:rsidR="00F73AF1" w:rsidRPr="004D4569">
        <w:t xml:space="preserve">oraz </w:t>
      </w:r>
      <w:r w:rsidR="00F73AF1" w:rsidRPr="00486C2F">
        <w:t xml:space="preserve">§ </w:t>
      </w:r>
      <w:r w:rsidR="004D4569" w:rsidRPr="00486C2F">
        <w:t>5 ust. 2</w:t>
      </w:r>
      <w:r w:rsidR="004D4569" w:rsidRPr="004D4569">
        <w:t xml:space="preserve"> </w:t>
      </w:r>
      <w:r w:rsidR="00F73AF1" w:rsidRPr="004D4569">
        <w:t>zarządzenia nr 150 Rektora ZUT z dnia 28 grudnia 2023 r. w sprawie kryteriów oceny okresowej nauczycieli akademickich oraz trybu i podmiotów dokonujących oceny okresowej nauczycieli akademickich od roku 2024</w:t>
      </w:r>
      <w:r w:rsidRPr="004D4569">
        <w:t xml:space="preserve"> </w:t>
      </w:r>
      <w:r w:rsidR="00CE0AC2" w:rsidRPr="004D4569">
        <w:t>z</w:t>
      </w:r>
      <w:r w:rsidR="00CE0AC2">
        <w:t xml:space="preserve">arządza się, </w:t>
      </w:r>
      <w:r w:rsidRPr="00614539">
        <w:t>co następuje:</w:t>
      </w:r>
    </w:p>
    <w:p w14:paraId="2501C185" w14:textId="2A5F222A" w:rsidR="002A2327" w:rsidRDefault="00A82B47" w:rsidP="007F61BC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val="pl"/>
        </w:rPr>
      </w:pPr>
      <w:r w:rsidRPr="00D664F1">
        <w:rPr>
          <w:rFonts w:ascii="Times New Roman" w:eastAsia="Times New Roman" w:hAnsi="Times New Roman"/>
          <w:b/>
          <w:bCs/>
          <w:szCs w:val="24"/>
          <w:lang w:val="pl"/>
        </w:rPr>
        <w:t>§ 1.</w:t>
      </w:r>
    </w:p>
    <w:p w14:paraId="13409A2D" w14:textId="6A1A33AF" w:rsidR="00627D84" w:rsidRPr="002E0316" w:rsidRDefault="003760B2" w:rsidP="002E0316">
      <w:pPr>
        <w:spacing w:after="60"/>
        <w:rPr>
          <w:rFonts w:ascii="Times New Roman" w:hAnsi="Times New Roman" w:cs="Times New Roman"/>
          <w:lang w:val="pl"/>
        </w:rPr>
      </w:pPr>
      <w:r w:rsidRPr="002E0316">
        <w:rPr>
          <w:rFonts w:ascii="Times New Roman" w:hAnsi="Times New Roman" w:cs="Times New Roman"/>
          <w:lang w:val="pl"/>
        </w:rPr>
        <w:t xml:space="preserve">Ocenę okresową nauczycieli akademickich za </w:t>
      </w:r>
      <w:r w:rsidR="00C05936" w:rsidRPr="002E0316">
        <w:rPr>
          <w:rFonts w:ascii="Times New Roman" w:hAnsi="Times New Roman" w:cs="Times New Roman"/>
          <w:lang w:val="pl"/>
        </w:rPr>
        <w:t>lata 2020-2023</w:t>
      </w:r>
      <w:r w:rsidRPr="002E0316">
        <w:rPr>
          <w:rFonts w:ascii="Times New Roman" w:hAnsi="Times New Roman" w:cs="Times New Roman"/>
          <w:lang w:val="pl"/>
        </w:rPr>
        <w:t xml:space="preserve"> przeprowadza się zgodnie z poniższym</w:t>
      </w:r>
      <w:r w:rsidR="00C039AF" w:rsidRPr="002E0316">
        <w:rPr>
          <w:rFonts w:ascii="Times New Roman" w:hAnsi="Times New Roman" w:cs="Times New Roman"/>
          <w:lang w:val="pl"/>
        </w:rPr>
        <w:t xml:space="preserve"> harmonogramem postępowania:</w:t>
      </w: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2268"/>
        <w:gridCol w:w="7230"/>
      </w:tblGrid>
      <w:tr w:rsidR="001C7323" w:rsidRPr="002E0316" w14:paraId="6228907C" w14:textId="77777777" w:rsidTr="00DB289D">
        <w:trPr>
          <w:trHeight w:val="5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59CA4" w14:textId="7A745DCE" w:rsidR="001C7323" w:rsidRPr="002E0316" w:rsidRDefault="00486C2F" w:rsidP="002E031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E0316">
              <w:rPr>
                <w:rFonts w:ascii="Times New Roman" w:hAnsi="Times New Roman" w:cs="Times New Roman"/>
                <w:b/>
                <w:bCs/>
              </w:rPr>
              <w:t>26.02–22.03.2024 r.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738BE" w14:textId="184EEE7F" w:rsidR="001C7323" w:rsidRPr="002E0316" w:rsidRDefault="00486C2F" w:rsidP="002E0316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2"/>
              </w:rPr>
            </w:pPr>
            <w:r w:rsidRPr="002E0316">
              <w:rPr>
                <w:rFonts w:ascii="Times New Roman" w:hAnsi="Times New Roman" w:cs="Times New Roman"/>
                <w:sz w:val="22"/>
              </w:rPr>
              <w:t>wprowadzenie opinii przez bezpośredniego przełożonego</w:t>
            </w:r>
          </w:p>
        </w:tc>
      </w:tr>
      <w:tr w:rsidR="00486C2F" w:rsidRPr="002E0316" w14:paraId="76E8DFDD" w14:textId="77777777" w:rsidTr="00DB289D">
        <w:trPr>
          <w:trHeight w:val="530"/>
        </w:trPr>
        <w:tc>
          <w:tcPr>
            <w:tcW w:w="226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8DB255D" w14:textId="1168BF02" w:rsidR="00486C2F" w:rsidRPr="002E0316" w:rsidRDefault="00486C2F" w:rsidP="00A67D1A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E0316">
              <w:rPr>
                <w:rFonts w:ascii="Times New Roman" w:hAnsi="Times New Roman" w:cs="Times New Roman"/>
                <w:b/>
                <w:bCs/>
              </w:rPr>
              <w:t>26.02–05.04.2024 r.</w:t>
            </w:r>
          </w:p>
        </w:tc>
        <w:tc>
          <w:tcPr>
            <w:tcW w:w="723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A35396D" w14:textId="1A0D899D" w:rsidR="00486C2F" w:rsidRPr="002E0316" w:rsidRDefault="00486C2F" w:rsidP="00A67D1A">
            <w:pPr>
              <w:pStyle w:val="Akapitzlist"/>
              <w:numPr>
                <w:ilvl w:val="0"/>
                <w:numId w:val="6"/>
              </w:numPr>
              <w:spacing w:after="60"/>
              <w:jc w:val="left"/>
              <w:rPr>
                <w:rFonts w:ascii="Times New Roman" w:hAnsi="Times New Roman" w:cs="Times New Roman"/>
                <w:sz w:val="22"/>
              </w:rPr>
            </w:pPr>
            <w:r w:rsidRPr="002E0316">
              <w:rPr>
                <w:rFonts w:ascii="Times New Roman" w:hAnsi="Times New Roman" w:cs="Times New Roman"/>
                <w:sz w:val="22"/>
              </w:rPr>
              <w:t>wypełnienie i złożenie przez nauczycieli akademickich arkuszy oceny (2 egz.) wraz z opinią bezpośredniego przełożonego do odpowiedniej komisji oceniającej, wygenerowanych z systemu informatycznego ZUT (panel3.zut.edu.pl)</w:t>
            </w:r>
          </w:p>
        </w:tc>
      </w:tr>
      <w:tr w:rsidR="00627D84" w:rsidRPr="002E0316" w14:paraId="4383CC35" w14:textId="77777777" w:rsidTr="002E0316"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1A073C9" w14:textId="6E5EFCC1" w:rsidR="00474940" w:rsidRPr="002E0316" w:rsidRDefault="00D870A0" w:rsidP="002E0316">
            <w:pPr>
              <w:jc w:val="left"/>
              <w:rPr>
                <w:rFonts w:ascii="Times New Roman" w:hAnsi="Times New Roman" w:cs="Times New Roman"/>
              </w:rPr>
            </w:pPr>
            <w:r w:rsidRPr="002E0316">
              <w:rPr>
                <w:rFonts w:ascii="Times New Roman" w:hAnsi="Times New Roman" w:cs="Times New Roman"/>
                <w:b/>
                <w:bCs/>
              </w:rPr>
              <w:t>08.04–17.05.2024 r</w:t>
            </w:r>
            <w:r w:rsidRPr="002E03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386C015" w14:textId="46608D84" w:rsidR="00627D84" w:rsidRPr="002E0316" w:rsidRDefault="00627D84" w:rsidP="002E0316">
            <w:pPr>
              <w:pStyle w:val="Akapitzlist"/>
              <w:numPr>
                <w:ilvl w:val="0"/>
                <w:numId w:val="6"/>
              </w:numPr>
              <w:spacing w:before="60" w:after="60"/>
              <w:contextualSpacing w:val="0"/>
              <w:jc w:val="left"/>
              <w:rPr>
                <w:rStyle w:val="Wyrnieniedelikatne"/>
                <w:rFonts w:ascii="Times New Roman" w:eastAsiaTheme="minorHAnsi" w:hAnsi="Times New Roman" w:cs="Times New Roman"/>
                <w:b w:val="0"/>
                <w:iCs w:val="0"/>
                <w:spacing w:val="0"/>
                <w:sz w:val="22"/>
              </w:rPr>
            </w:pPr>
            <w:r w:rsidRPr="002E0316">
              <w:rPr>
                <w:rFonts w:ascii="Times New Roman" w:hAnsi="Times New Roman" w:cs="Times New Roman"/>
                <w:sz w:val="22"/>
              </w:rPr>
              <w:t>przeprowadzenie oceny nauczycieli akademickich przez komisje oceniające</w:t>
            </w:r>
            <w:r w:rsidR="00B3508C" w:rsidRPr="002E0316">
              <w:rPr>
                <w:rFonts w:ascii="Times New Roman" w:hAnsi="Times New Roman" w:cs="Times New Roman"/>
                <w:sz w:val="22"/>
              </w:rPr>
              <w:t xml:space="preserve"> – </w:t>
            </w:r>
            <w:r w:rsidRPr="002E0316">
              <w:rPr>
                <w:rFonts w:ascii="Times New Roman" w:hAnsi="Times New Roman" w:cs="Times New Roman"/>
                <w:sz w:val="22"/>
              </w:rPr>
              <w:t xml:space="preserve">prace komisji oceniających prowadzone są w sposób tradycyjny lub z zastosowaniem systemów teleinformatycznych Uczelni (m.in. dysku sieciowego, </w:t>
            </w:r>
            <w:r w:rsidR="00734AB5" w:rsidRPr="002E0316">
              <w:rPr>
                <w:rFonts w:ascii="Times New Roman" w:hAnsi="Times New Roman" w:cs="Times New Roman"/>
                <w:sz w:val="22"/>
              </w:rPr>
              <w:t>pla</w:t>
            </w:r>
            <w:r w:rsidR="002E0316">
              <w:rPr>
                <w:rFonts w:ascii="Times New Roman" w:hAnsi="Times New Roman" w:cs="Times New Roman"/>
                <w:sz w:val="22"/>
              </w:rPr>
              <w:t>3</w:t>
            </w:r>
            <w:r w:rsidR="00734AB5" w:rsidRPr="002E0316">
              <w:rPr>
                <w:rFonts w:ascii="Times New Roman" w:hAnsi="Times New Roman" w:cs="Times New Roman"/>
                <w:sz w:val="22"/>
              </w:rPr>
              <w:t xml:space="preserve">tformy </w:t>
            </w:r>
            <w:r w:rsidRPr="002E0316">
              <w:rPr>
                <w:rFonts w:ascii="Times New Roman" w:hAnsi="Times New Roman" w:cs="Times New Roman"/>
                <w:sz w:val="22"/>
              </w:rPr>
              <w:t>edysk.zut.edu.pl</w:t>
            </w:r>
            <w:r w:rsidR="00C97C72" w:rsidRPr="002E0316">
              <w:rPr>
                <w:rFonts w:ascii="Times New Roman" w:hAnsi="Times New Roman" w:cs="Times New Roman"/>
                <w:sz w:val="22"/>
              </w:rPr>
              <w:t>, z</w:t>
            </w:r>
            <w:r w:rsidR="002E0316">
              <w:rPr>
                <w:rFonts w:ascii="Times New Roman" w:hAnsi="Times New Roman" w:cs="Times New Roman"/>
                <w:sz w:val="22"/>
              </w:rPr>
              <w:t> </w:t>
            </w:r>
            <w:r w:rsidR="00C97C72" w:rsidRPr="002E0316">
              <w:rPr>
                <w:rFonts w:ascii="Times New Roman" w:hAnsi="Times New Roman" w:cs="Times New Roman"/>
                <w:sz w:val="22"/>
              </w:rPr>
              <w:t>wyłączeniem usług Office 365, w tym</w:t>
            </w:r>
            <w:r w:rsidR="00B3508C" w:rsidRPr="002E0316">
              <w:rPr>
                <w:rFonts w:ascii="Times New Roman" w:hAnsi="Times New Roman" w:cs="Times New Roman"/>
                <w:sz w:val="22"/>
              </w:rPr>
              <w:t xml:space="preserve"> poczty</w:t>
            </w:r>
            <w:r w:rsidR="00C97C72" w:rsidRPr="002E0316">
              <w:rPr>
                <w:rFonts w:ascii="Times New Roman" w:hAnsi="Times New Roman" w:cs="Times New Roman"/>
                <w:sz w:val="22"/>
              </w:rPr>
              <w:t xml:space="preserve"> e-mail</w:t>
            </w:r>
            <w:r w:rsidR="00734AB5" w:rsidRPr="002E0316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627D84" w:rsidRPr="002E0316" w14:paraId="35EAFB6A" w14:textId="77777777" w:rsidTr="002E031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DDA48" w14:textId="77CA4F97" w:rsidR="00627D84" w:rsidRPr="002E0316" w:rsidRDefault="00734AB5" w:rsidP="002E0316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E0316">
              <w:rPr>
                <w:rFonts w:ascii="Times New Roman" w:hAnsi="Times New Roman" w:cs="Times New Roman"/>
                <w:b/>
                <w:bCs/>
              </w:rPr>
              <w:t>2</w:t>
            </w:r>
            <w:r w:rsidR="00723D5B" w:rsidRPr="002E0316">
              <w:rPr>
                <w:rFonts w:ascii="Times New Roman" w:hAnsi="Times New Roman" w:cs="Times New Roman"/>
                <w:b/>
                <w:bCs/>
              </w:rPr>
              <w:t>0</w:t>
            </w:r>
            <w:r w:rsidR="000022EB" w:rsidRPr="002E0316">
              <w:rPr>
                <w:rFonts w:ascii="Times New Roman" w:hAnsi="Times New Roman" w:cs="Times New Roman"/>
                <w:b/>
                <w:bCs/>
              </w:rPr>
              <w:t>.0</w:t>
            </w:r>
            <w:r w:rsidRPr="002E0316">
              <w:rPr>
                <w:rFonts w:ascii="Times New Roman" w:hAnsi="Times New Roman" w:cs="Times New Roman"/>
                <w:b/>
                <w:bCs/>
              </w:rPr>
              <w:t>5</w:t>
            </w:r>
            <w:r w:rsidR="000022EB" w:rsidRPr="002E0316">
              <w:rPr>
                <w:rFonts w:ascii="Times New Roman" w:hAnsi="Times New Roman" w:cs="Times New Roman"/>
                <w:b/>
                <w:bCs/>
              </w:rPr>
              <w:t>–</w:t>
            </w:r>
            <w:r w:rsidRPr="002E0316">
              <w:rPr>
                <w:rFonts w:ascii="Times New Roman" w:hAnsi="Times New Roman" w:cs="Times New Roman"/>
                <w:b/>
                <w:bCs/>
              </w:rPr>
              <w:t>07</w:t>
            </w:r>
            <w:r w:rsidR="000022EB" w:rsidRPr="002E0316">
              <w:rPr>
                <w:rFonts w:ascii="Times New Roman" w:hAnsi="Times New Roman" w:cs="Times New Roman"/>
                <w:b/>
                <w:bCs/>
              </w:rPr>
              <w:t>.0</w:t>
            </w:r>
            <w:r w:rsidR="00723D5B" w:rsidRPr="002E0316">
              <w:rPr>
                <w:rFonts w:ascii="Times New Roman" w:hAnsi="Times New Roman" w:cs="Times New Roman"/>
                <w:b/>
                <w:bCs/>
              </w:rPr>
              <w:t>6</w:t>
            </w:r>
            <w:r w:rsidR="000022EB" w:rsidRPr="002E0316">
              <w:rPr>
                <w:rFonts w:ascii="Times New Roman" w:hAnsi="Times New Roman" w:cs="Times New Roman"/>
                <w:b/>
                <w:bCs/>
              </w:rPr>
              <w:t>.2024 r.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BCB82" w14:textId="675E8367" w:rsidR="00BD0C84" w:rsidRPr="002E0316" w:rsidRDefault="00627D84" w:rsidP="002E0316">
            <w:pPr>
              <w:pStyle w:val="Akapitzlist"/>
              <w:numPr>
                <w:ilvl w:val="0"/>
                <w:numId w:val="6"/>
              </w:numPr>
              <w:spacing w:before="60" w:after="60"/>
              <w:jc w:val="left"/>
              <w:rPr>
                <w:rStyle w:val="Wyrnieniedelikatne"/>
                <w:rFonts w:ascii="Times New Roman" w:eastAsiaTheme="minorHAnsi" w:hAnsi="Times New Roman" w:cs="Times New Roman"/>
                <w:b w:val="0"/>
                <w:iCs w:val="0"/>
                <w:spacing w:val="0"/>
                <w:sz w:val="22"/>
              </w:rPr>
            </w:pPr>
            <w:r w:rsidRPr="002E0316">
              <w:rPr>
                <w:rFonts w:ascii="Times New Roman" w:hAnsi="Times New Roman" w:cs="Times New Roman"/>
                <w:sz w:val="22"/>
              </w:rPr>
              <w:t>przekazanie</w:t>
            </w:r>
            <w:r w:rsidR="004D4569" w:rsidRPr="002E0316">
              <w:rPr>
                <w:rFonts w:ascii="Times New Roman" w:hAnsi="Times New Roman" w:cs="Times New Roman"/>
                <w:sz w:val="22"/>
              </w:rPr>
              <w:t xml:space="preserve"> przez bezpośredniego przełożonego </w:t>
            </w:r>
            <w:r w:rsidRPr="002E0316">
              <w:rPr>
                <w:rFonts w:ascii="Times New Roman" w:hAnsi="Times New Roman" w:cs="Times New Roman"/>
                <w:sz w:val="22"/>
              </w:rPr>
              <w:t xml:space="preserve">nauczycielom akademickim </w:t>
            </w:r>
            <w:r w:rsidR="00C956F6" w:rsidRPr="002E0316">
              <w:rPr>
                <w:rFonts w:ascii="Times New Roman" w:hAnsi="Times New Roman" w:cs="Times New Roman"/>
                <w:sz w:val="22"/>
              </w:rPr>
              <w:t>arkusza wraz z wynikiem oceny</w:t>
            </w:r>
            <w:r w:rsidRPr="002E0316">
              <w:rPr>
                <w:rFonts w:ascii="Times New Roman" w:hAnsi="Times New Roman" w:cs="Times New Roman"/>
                <w:sz w:val="22"/>
              </w:rPr>
              <w:t xml:space="preserve"> na piśmie</w:t>
            </w:r>
            <w:r w:rsidR="00C956F6" w:rsidRPr="002E0316">
              <w:rPr>
                <w:rFonts w:ascii="Times New Roman" w:hAnsi="Times New Roman" w:cs="Times New Roman"/>
                <w:sz w:val="22"/>
              </w:rPr>
              <w:t xml:space="preserve"> (1 egz.)</w:t>
            </w:r>
            <w:r w:rsidR="008B21AF" w:rsidRPr="002E031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956F6" w:rsidRPr="002E0316">
              <w:rPr>
                <w:rFonts w:ascii="Times New Roman" w:hAnsi="Times New Roman" w:cs="Times New Roman"/>
                <w:sz w:val="22"/>
              </w:rPr>
              <w:br/>
            </w:r>
            <w:r w:rsidR="00B3508C" w:rsidRPr="002E0316">
              <w:rPr>
                <w:rFonts w:ascii="Times New Roman" w:hAnsi="Times New Roman" w:cs="Times New Roman"/>
                <w:sz w:val="22"/>
              </w:rPr>
              <w:t xml:space="preserve">– </w:t>
            </w:r>
            <w:r w:rsidR="00C97C72" w:rsidRPr="002E0316">
              <w:rPr>
                <w:rFonts w:ascii="Times New Roman" w:hAnsi="Times New Roman" w:cs="Times New Roman"/>
                <w:sz w:val="22"/>
              </w:rPr>
              <w:t>p</w:t>
            </w:r>
            <w:r w:rsidRPr="002E0316">
              <w:rPr>
                <w:rFonts w:ascii="Times New Roman" w:hAnsi="Times New Roman" w:cs="Times New Roman"/>
                <w:sz w:val="22"/>
              </w:rPr>
              <w:t xml:space="preserve">otwierdzenie odbioru </w:t>
            </w:r>
            <w:r w:rsidR="00734AB5" w:rsidRPr="002E0316">
              <w:rPr>
                <w:rFonts w:ascii="Times New Roman" w:hAnsi="Times New Roman" w:cs="Times New Roman"/>
                <w:sz w:val="22"/>
              </w:rPr>
              <w:t>musi</w:t>
            </w:r>
            <w:r w:rsidRPr="002E0316">
              <w:rPr>
                <w:rFonts w:ascii="Times New Roman" w:hAnsi="Times New Roman" w:cs="Times New Roman"/>
                <w:sz w:val="22"/>
              </w:rPr>
              <w:t xml:space="preserve"> mieć postać</w:t>
            </w:r>
            <w:r w:rsidR="00734AB5" w:rsidRPr="002E031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E0316">
              <w:rPr>
                <w:rFonts w:ascii="Times New Roman" w:hAnsi="Times New Roman" w:cs="Times New Roman"/>
                <w:sz w:val="22"/>
              </w:rPr>
              <w:t xml:space="preserve">podpisania wyniku oceny </w:t>
            </w:r>
            <w:r w:rsidR="00C956F6" w:rsidRPr="002E0316">
              <w:rPr>
                <w:rFonts w:ascii="Times New Roman" w:hAnsi="Times New Roman" w:cs="Times New Roman"/>
                <w:sz w:val="22"/>
              </w:rPr>
              <w:br/>
            </w:r>
            <w:r w:rsidRPr="002E0316">
              <w:rPr>
                <w:rFonts w:ascii="Times New Roman" w:hAnsi="Times New Roman" w:cs="Times New Roman"/>
                <w:sz w:val="22"/>
              </w:rPr>
              <w:t>w wersji papierowej przez nauczyciela</w:t>
            </w:r>
          </w:p>
        </w:tc>
      </w:tr>
      <w:tr w:rsidR="00627D84" w:rsidRPr="002E0316" w14:paraId="2461D539" w14:textId="77777777" w:rsidTr="002E0316"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2BBEC66" w14:textId="78DB7393" w:rsidR="00627D84" w:rsidRPr="002E0316" w:rsidRDefault="000022EB" w:rsidP="002E0316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E0316">
              <w:rPr>
                <w:rFonts w:ascii="Times New Roman" w:hAnsi="Times New Roman" w:cs="Times New Roman"/>
                <w:b/>
                <w:bCs/>
              </w:rPr>
              <w:t xml:space="preserve">do </w:t>
            </w:r>
            <w:r w:rsidR="00734AB5" w:rsidRPr="002E0316">
              <w:rPr>
                <w:rFonts w:ascii="Times New Roman" w:hAnsi="Times New Roman" w:cs="Times New Roman"/>
                <w:b/>
                <w:bCs/>
              </w:rPr>
              <w:t>14</w:t>
            </w:r>
            <w:r w:rsidRPr="002E0316">
              <w:rPr>
                <w:rFonts w:ascii="Times New Roman" w:hAnsi="Times New Roman" w:cs="Times New Roman"/>
                <w:b/>
                <w:bCs/>
              </w:rPr>
              <w:t>.0</w:t>
            </w:r>
            <w:r w:rsidR="00734AB5" w:rsidRPr="002E0316">
              <w:rPr>
                <w:rFonts w:ascii="Times New Roman" w:hAnsi="Times New Roman" w:cs="Times New Roman"/>
                <w:b/>
                <w:bCs/>
              </w:rPr>
              <w:t>6</w:t>
            </w:r>
            <w:r w:rsidRPr="002E0316">
              <w:rPr>
                <w:rFonts w:ascii="Times New Roman" w:hAnsi="Times New Roman" w:cs="Times New Roman"/>
                <w:b/>
                <w:bCs/>
              </w:rPr>
              <w:t>.2024 r.</w:t>
            </w:r>
          </w:p>
        </w:tc>
        <w:tc>
          <w:tcPr>
            <w:tcW w:w="7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E68C531" w14:textId="3CC3D2AE" w:rsidR="00627D84" w:rsidRPr="002E0316" w:rsidRDefault="00627D84" w:rsidP="002E0316">
            <w:pPr>
              <w:pStyle w:val="Akapitzlist"/>
              <w:numPr>
                <w:ilvl w:val="0"/>
                <w:numId w:val="6"/>
              </w:numPr>
              <w:spacing w:before="60" w:after="60"/>
              <w:jc w:val="left"/>
              <w:rPr>
                <w:rStyle w:val="Wyrnieniedelikatne"/>
                <w:rFonts w:ascii="Times New Roman" w:eastAsiaTheme="minorHAnsi" w:hAnsi="Times New Roman" w:cs="Times New Roman"/>
                <w:b w:val="0"/>
                <w:iCs w:val="0"/>
                <w:spacing w:val="0"/>
                <w:sz w:val="22"/>
              </w:rPr>
            </w:pPr>
            <w:r w:rsidRPr="002E0316">
              <w:rPr>
                <w:rFonts w:ascii="Times New Roman" w:hAnsi="Times New Roman" w:cs="Times New Roman"/>
                <w:sz w:val="22"/>
              </w:rPr>
              <w:t>przekazanie protokołów z przeprowadzonej oceny wraz z arkuszami oceny (1 egz.) przez komisje oceniające do Działu Nauki w wersji papierowej</w:t>
            </w:r>
          </w:p>
        </w:tc>
      </w:tr>
      <w:tr w:rsidR="00627D84" w:rsidRPr="002E0316" w14:paraId="3B3FDB17" w14:textId="77777777" w:rsidTr="002E0316"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83DBF2D" w14:textId="6C31323D" w:rsidR="00627D84" w:rsidRPr="002E0316" w:rsidRDefault="000022EB" w:rsidP="002E0316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E0316">
              <w:rPr>
                <w:rFonts w:ascii="Times New Roman" w:hAnsi="Times New Roman" w:cs="Times New Roman"/>
                <w:b/>
                <w:bCs/>
              </w:rPr>
              <w:t xml:space="preserve">do </w:t>
            </w:r>
            <w:r w:rsidR="00F73AF1" w:rsidRPr="002E0316">
              <w:rPr>
                <w:rFonts w:ascii="Times New Roman" w:hAnsi="Times New Roman" w:cs="Times New Roman"/>
                <w:b/>
                <w:bCs/>
              </w:rPr>
              <w:t>21</w:t>
            </w:r>
            <w:r w:rsidRPr="002E0316">
              <w:rPr>
                <w:rFonts w:ascii="Times New Roman" w:hAnsi="Times New Roman" w:cs="Times New Roman"/>
                <w:b/>
                <w:bCs/>
              </w:rPr>
              <w:t>.0</w:t>
            </w:r>
            <w:r w:rsidR="00F73AF1" w:rsidRPr="002E0316">
              <w:rPr>
                <w:rFonts w:ascii="Times New Roman" w:hAnsi="Times New Roman" w:cs="Times New Roman"/>
                <w:b/>
                <w:bCs/>
              </w:rPr>
              <w:t>6</w:t>
            </w:r>
            <w:r w:rsidRPr="002E0316">
              <w:rPr>
                <w:rFonts w:ascii="Times New Roman" w:hAnsi="Times New Roman" w:cs="Times New Roman"/>
                <w:b/>
                <w:bCs/>
              </w:rPr>
              <w:t>.2024 r.</w:t>
            </w:r>
          </w:p>
        </w:tc>
        <w:tc>
          <w:tcPr>
            <w:tcW w:w="7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3DC0886" w14:textId="224C684A" w:rsidR="00627D84" w:rsidRPr="002E0316" w:rsidRDefault="00627D84" w:rsidP="002E0316">
            <w:pPr>
              <w:pStyle w:val="Akapitzlist"/>
              <w:numPr>
                <w:ilvl w:val="0"/>
                <w:numId w:val="6"/>
              </w:numPr>
              <w:spacing w:before="60" w:after="60"/>
              <w:jc w:val="left"/>
              <w:rPr>
                <w:rStyle w:val="Wyrnieniedelikatne"/>
                <w:rFonts w:ascii="Times New Roman" w:eastAsiaTheme="minorHAnsi" w:hAnsi="Times New Roman" w:cs="Times New Roman"/>
                <w:b w:val="0"/>
                <w:iCs w:val="0"/>
                <w:spacing w:val="0"/>
                <w:sz w:val="22"/>
              </w:rPr>
            </w:pPr>
            <w:r w:rsidRPr="002E0316">
              <w:rPr>
                <w:rFonts w:ascii="Times New Roman" w:hAnsi="Times New Roman" w:cs="Times New Roman"/>
                <w:sz w:val="22"/>
              </w:rPr>
              <w:t>wnoszenie odwołań od oceny komisji oceniających do uczelnianej komisji odwoławczej za pośrednictwem Działu Nauki (nauczycielowi akademickiemu przysługuje odwołanie od oceny w terminie 14 dni od dnia otrzymania informacji o ocenie)</w:t>
            </w:r>
          </w:p>
        </w:tc>
      </w:tr>
      <w:tr w:rsidR="00627D84" w:rsidRPr="002E0316" w14:paraId="32D27091" w14:textId="77777777" w:rsidTr="002E0316"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BC4D61A" w14:textId="5C6D9FBD" w:rsidR="00627D84" w:rsidRPr="002E0316" w:rsidRDefault="000022EB" w:rsidP="002E0316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E0316">
              <w:rPr>
                <w:rFonts w:ascii="Times New Roman" w:hAnsi="Times New Roman" w:cs="Times New Roman"/>
                <w:b/>
                <w:bCs/>
              </w:rPr>
              <w:t xml:space="preserve">do </w:t>
            </w:r>
            <w:r w:rsidR="00F73AF1" w:rsidRPr="002E0316">
              <w:rPr>
                <w:rFonts w:ascii="Times New Roman" w:hAnsi="Times New Roman" w:cs="Times New Roman"/>
                <w:b/>
                <w:bCs/>
              </w:rPr>
              <w:t>12</w:t>
            </w:r>
            <w:r w:rsidRPr="002E0316">
              <w:rPr>
                <w:rFonts w:ascii="Times New Roman" w:hAnsi="Times New Roman" w:cs="Times New Roman"/>
                <w:b/>
                <w:bCs/>
              </w:rPr>
              <w:t>.0</w:t>
            </w:r>
            <w:r w:rsidR="00734AB5" w:rsidRPr="002E0316">
              <w:rPr>
                <w:rFonts w:ascii="Times New Roman" w:hAnsi="Times New Roman" w:cs="Times New Roman"/>
                <w:b/>
                <w:bCs/>
              </w:rPr>
              <w:t>7</w:t>
            </w:r>
            <w:r w:rsidRPr="002E0316">
              <w:rPr>
                <w:rFonts w:ascii="Times New Roman" w:hAnsi="Times New Roman" w:cs="Times New Roman"/>
                <w:b/>
                <w:bCs/>
              </w:rPr>
              <w:t>.2024 r.</w:t>
            </w:r>
          </w:p>
        </w:tc>
        <w:tc>
          <w:tcPr>
            <w:tcW w:w="7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95667A1" w14:textId="18EC5D19" w:rsidR="00627D84" w:rsidRPr="002E0316" w:rsidRDefault="00627D84" w:rsidP="002E0316">
            <w:pPr>
              <w:pStyle w:val="Akapitzlist"/>
              <w:numPr>
                <w:ilvl w:val="0"/>
                <w:numId w:val="6"/>
              </w:numPr>
              <w:spacing w:before="60" w:after="60"/>
              <w:jc w:val="left"/>
              <w:rPr>
                <w:rStyle w:val="Wyrnieniedelikatne"/>
                <w:rFonts w:ascii="Times New Roman" w:eastAsiaTheme="minorHAnsi" w:hAnsi="Times New Roman" w:cs="Times New Roman"/>
                <w:b w:val="0"/>
                <w:iCs w:val="0"/>
                <w:spacing w:val="0"/>
                <w:sz w:val="22"/>
              </w:rPr>
            </w:pPr>
            <w:r w:rsidRPr="002E0316">
              <w:rPr>
                <w:rFonts w:ascii="Times New Roman" w:hAnsi="Times New Roman" w:cs="Times New Roman"/>
                <w:sz w:val="22"/>
              </w:rPr>
              <w:t>rozpatrzenie odwołań i powiadomienie odwołującego się nauczyciela akademickiego oraz kierownika jednostki przez uczelnianą komisję odwoławczą (w terminie 21 dni od dnia otrzymania odwołania oraz akt sprawy)</w:t>
            </w:r>
          </w:p>
        </w:tc>
      </w:tr>
    </w:tbl>
    <w:p w14:paraId="0198309D" w14:textId="6D5F8FED" w:rsidR="72029388" w:rsidRDefault="00627D84" w:rsidP="00D534B5">
      <w:pPr>
        <w:spacing w:before="120" w:after="0"/>
        <w:jc w:val="center"/>
        <w:rPr>
          <w:rFonts w:ascii="Times New Roman" w:eastAsia="Times New Roman" w:hAnsi="Times New Roman"/>
          <w:b/>
          <w:bCs/>
          <w:lang w:val="pl"/>
        </w:rPr>
      </w:pPr>
      <w:r w:rsidRPr="03136AB2">
        <w:rPr>
          <w:rFonts w:ascii="Times New Roman" w:eastAsia="Times New Roman" w:hAnsi="Times New Roman"/>
          <w:b/>
          <w:bCs/>
          <w:lang w:val="pl"/>
        </w:rPr>
        <w:t>§ 2.</w:t>
      </w:r>
    </w:p>
    <w:p w14:paraId="259C55D8" w14:textId="13D16AD2" w:rsidR="00627D84" w:rsidRPr="006429BD" w:rsidRDefault="00627D84" w:rsidP="00D534B5">
      <w:pPr>
        <w:tabs>
          <w:tab w:val="left" w:pos="5529"/>
          <w:tab w:val="left" w:pos="7371"/>
        </w:tabs>
        <w:spacing w:after="600"/>
        <w:rPr>
          <w:lang w:val="de-DE"/>
        </w:rPr>
      </w:pPr>
      <w:r w:rsidRPr="00BD0C84">
        <w:t>Zarządzenie wchodzi w życie z dniem podpisania.</w:t>
      </w:r>
      <w:r w:rsidR="002E0316">
        <w:tab/>
      </w:r>
      <w:r w:rsidR="002E0316">
        <w:tab/>
      </w:r>
      <w:r w:rsidR="004E13A8" w:rsidRPr="004E13A8">
        <w:rPr>
          <w:rFonts w:ascii="Times New Roman" w:eastAsia="Times New Roman" w:hAnsi="Times New Roman" w:cs="Times New Roman"/>
          <w:lang w:val="de-DE"/>
        </w:rPr>
        <w:t>Rektor</w:t>
      </w:r>
    </w:p>
    <w:p w14:paraId="19EABF5F" w14:textId="3A92263B" w:rsidR="03136AB2" w:rsidRPr="002E0316" w:rsidRDefault="00AC7FBB" w:rsidP="002E0316">
      <w:pPr>
        <w:spacing w:after="0" w:line="480" w:lineRule="auto"/>
        <w:ind w:left="5670"/>
        <w:jc w:val="center"/>
        <w:outlineLvl w:val="4"/>
        <w:rPr>
          <w:rFonts w:ascii="Times New Roman" w:eastAsia="Times New Roman" w:hAnsi="Times New Roman" w:cs="Times New Roman"/>
          <w:lang w:val="de-DE"/>
        </w:rPr>
      </w:pPr>
      <w:r w:rsidRPr="002E0316">
        <w:rPr>
          <w:rFonts w:ascii="Times New Roman" w:eastAsia="Times New Roman" w:hAnsi="Times New Roman" w:cs="Times New Roman"/>
          <w:lang w:val="de-DE"/>
        </w:rPr>
        <w:t>dr hab. inż. Jacek Wróbel, prof. ZUT</w:t>
      </w:r>
    </w:p>
    <w:sectPr w:rsidR="03136AB2" w:rsidRPr="002E0316" w:rsidSect="002E0316">
      <w:pgSz w:w="11906" w:h="16838"/>
      <w:pgMar w:top="851" w:right="851" w:bottom="28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69EE" w14:textId="77777777" w:rsidR="002E0316" w:rsidRDefault="002E0316" w:rsidP="002E0316">
      <w:pPr>
        <w:spacing w:after="0" w:line="240" w:lineRule="auto"/>
      </w:pPr>
      <w:r>
        <w:separator/>
      </w:r>
    </w:p>
  </w:endnote>
  <w:endnote w:type="continuationSeparator" w:id="0">
    <w:p w14:paraId="604AC301" w14:textId="77777777" w:rsidR="002E0316" w:rsidRDefault="002E0316" w:rsidP="002E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0AD6" w14:textId="77777777" w:rsidR="002E0316" w:rsidRDefault="002E0316" w:rsidP="002E0316">
      <w:pPr>
        <w:spacing w:after="0" w:line="240" w:lineRule="auto"/>
      </w:pPr>
      <w:r>
        <w:separator/>
      </w:r>
    </w:p>
  </w:footnote>
  <w:footnote w:type="continuationSeparator" w:id="0">
    <w:p w14:paraId="43020A42" w14:textId="77777777" w:rsidR="002E0316" w:rsidRDefault="002E0316" w:rsidP="002E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446E"/>
    <w:multiLevelType w:val="hybridMultilevel"/>
    <w:tmpl w:val="EE16818E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23227E3D"/>
    <w:multiLevelType w:val="hybridMultilevel"/>
    <w:tmpl w:val="D24C49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F19DF"/>
    <w:multiLevelType w:val="hybridMultilevel"/>
    <w:tmpl w:val="77DE1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6769C"/>
    <w:multiLevelType w:val="hybridMultilevel"/>
    <w:tmpl w:val="1DF6BE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A8127C"/>
    <w:multiLevelType w:val="hybridMultilevel"/>
    <w:tmpl w:val="9DE8469A"/>
    <w:lvl w:ilvl="0" w:tplc="FE7EB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93EC0"/>
    <w:multiLevelType w:val="hybridMultilevel"/>
    <w:tmpl w:val="F64A20B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04039218">
    <w:abstractNumId w:val="1"/>
  </w:num>
  <w:num w:numId="2" w16cid:durableId="1221163231">
    <w:abstractNumId w:val="5"/>
  </w:num>
  <w:num w:numId="3" w16cid:durableId="2127384421">
    <w:abstractNumId w:val="0"/>
  </w:num>
  <w:num w:numId="4" w16cid:durableId="828330114">
    <w:abstractNumId w:val="4"/>
  </w:num>
  <w:num w:numId="5" w16cid:durableId="614990338">
    <w:abstractNumId w:val="3"/>
  </w:num>
  <w:num w:numId="6" w16cid:durableId="344017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03"/>
    <w:rsid w:val="000022EB"/>
    <w:rsid w:val="000A7627"/>
    <w:rsid w:val="001776B1"/>
    <w:rsid w:val="001C7323"/>
    <w:rsid w:val="001E2645"/>
    <w:rsid w:val="00233F65"/>
    <w:rsid w:val="002A2327"/>
    <w:rsid w:val="002B4D8C"/>
    <w:rsid w:val="002E0316"/>
    <w:rsid w:val="003144E3"/>
    <w:rsid w:val="00331BF9"/>
    <w:rsid w:val="0034401C"/>
    <w:rsid w:val="0036780E"/>
    <w:rsid w:val="003760B2"/>
    <w:rsid w:val="003B0526"/>
    <w:rsid w:val="003C714C"/>
    <w:rsid w:val="003E761F"/>
    <w:rsid w:val="004108E1"/>
    <w:rsid w:val="00413150"/>
    <w:rsid w:val="0041408F"/>
    <w:rsid w:val="00422010"/>
    <w:rsid w:val="004456D6"/>
    <w:rsid w:val="00474940"/>
    <w:rsid w:val="00486C2F"/>
    <w:rsid w:val="004D4569"/>
    <w:rsid w:val="004E13A8"/>
    <w:rsid w:val="00512509"/>
    <w:rsid w:val="00580F57"/>
    <w:rsid w:val="0059754D"/>
    <w:rsid w:val="00614539"/>
    <w:rsid w:val="00625411"/>
    <w:rsid w:val="00627D84"/>
    <w:rsid w:val="006429BD"/>
    <w:rsid w:val="006A46F5"/>
    <w:rsid w:val="006C6FE1"/>
    <w:rsid w:val="006F6106"/>
    <w:rsid w:val="00723245"/>
    <w:rsid w:val="00723D5B"/>
    <w:rsid w:val="00734AB5"/>
    <w:rsid w:val="00785D7C"/>
    <w:rsid w:val="00786A82"/>
    <w:rsid w:val="007D0929"/>
    <w:rsid w:val="007F61BC"/>
    <w:rsid w:val="007F7897"/>
    <w:rsid w:val="00802A13"/>
    <w:rsid w:val="008427DB"/>
    <w:rsid w:val="00842FD4"/>
    <w:rsid w:val="008560A7"/>
    <w:rsid w:val="0086682B"/>
    <w:rsid w:val="008A6AE6"/>
    <w:rsid w:val="008B21AF"/>
    <w:rsid w:val="00942A42"/>
    <w:rsid w:val="00A104BB"/>
    <w:rsid w:val="00A24F98"/>
    <w:rsid w:val="00A67D1A"/>
    <w:rsid w:val="00A82B47"/>
    <w:rsid w:val="00AB469D"/>
    <w:rsid w:val="00AC7FBB"/>
    <w:rsid w:val="00B043B5"/>
    <w:rsid w:val="00B1706C"/>
    <w:rsid w:val="00B3508C"/>
    <w:rsid w:val="00B861E6"/>
    <w:rsid w:val="00BA0AF2"/>
    <w:rsid w:val="00BA3AED"/>
    <w:rsid w:val="00BD0C84"/>
    <w:rsid w:val="00BD7BFB"/>
    <w:rsid w:val="00C039AF"/>
    <w:rsid w:val="00C05936"/>
    <w:rsid w:val="00C956F6"/>
    <w:rsid w:val="00C97C72"/>
    <w:rsid w:val="00CE0AC2"/>
    <w:rsid w:val="00D15CF9"/>
    <w:rsid w:val="00D2530F"/>
    <w:rsid w:val="00D534B5"/>
    <w:rsid w:val="00D870A0"/>
    <w:rsid w:val="00DB289D"/>
    <w:rsid w:val="00DC01AA"/>
    <w:rsid w:val="00DC4403"/>
    <w:rsid w:val="00F2769E"/>
    <w:rsid w:val="00F54C3A"/>
    <w:rsid w:val="00F73AF1"/>
    <w:rsid w:val="00FA35B9"/>
    <w:rsid w:val="00FC43F8"/>
    <w:rsid w:val="03136AB2"/>
    <w:rsid w:val="236D54F5"/>
    <w:rsid w:val="30C4B560"/>
    <w:rsid w:val="453E6DCA"/>
    <w:rsid w:val="72029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351E"/>
  <w15:chartTrackingRefBased/>
  <w15:docId w15:val="{20BF74DC-AF55-4BCF-86A1-7CC6DC0D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9AF"/>
    <w:pPr>
      <w:spacing w:line="276" w:lineRule="auto"/>
      <w:jc w:val="both"/>
    </w:pPr>
    <w:rPr>
      <w:rFonts w:ascii="Times" w:hAnsi="Times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F7897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7897"/>
    <w:rPr>
      <w:rFonts w:ascii="Times" w:eastAsiaTheme="majorEastAsia" w:hAnsi="Times" w:cstheme="majorBidi"/>
      <w:b/>
      <w:spacing w:val="-10"/>
      <w:kern w:val="28"/>
      <w:sz w:val="32"/>
      <w:szCs w:val="56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7897"/>
    <w:pPr>
      <w:numPr>
        <w:ilvl w:val="1"/>
      </w:numPr>
      <w:jc w:val="center"/>
    </w:pPr>
    <w:rPr>
      <w:rFonts w:eastAsiaTheme="minorEastAsia"/>
      <w:b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F7897"/>
    <w:rPr>
      <w:rFonts w:ascii="Times" w:eastAsiaTheme="minorEastAsia" w:hAnsi="Times"/>
      <w:b/>
      <w:spacing w:val="15"/>
      <w:kern w:val="0"/>
      <w:sz w:val="28"/>
      <w14:ligatures w14:val="none"/>
    </w:rPr>
  </w:style>
  <w:style w:type="character" w:styleId="Wyrnieniedelikatne">
    <w:name w:val="Subtle Emphasis"/>
    <w:aliases w:val="Podtytuł 2"/>
    <w:basedOn w:val="PodtytuZnak"/>
    <w:uiPriority w:val="19"/>
    <w:qFormat/>
    <w:rsid w:val="007F7897"/>
    <w:rPr>
      <w:rFonts w:ascii="Times" w:eastAsiaTheme="minorEastAsia" w:hAnsi="Times"/>
      <w:b/>
      <w:i w:val="0"/>
      <w:iCs/>
      <w:color w:val="auto"/>
      <w:spacing w:val="15"/>
      <w:kern w:val="0"/>
      <w:sz w:val="24"/>
      <w14:ligatures w14:val="none"/>
    </w:rPr>
  </w:style>
  <w:style w:type="paragraph" w:styleId="Akapitzlist">
    <w:name w:val="List Paragraph"/>
    <w:basedOn w:val="Normalny"/>
    <w:uiPriority w:val="34"/>
    <w:qFormat/>
    <w:rsid w:val="00C039AF"/>
    <w:pPr>
      <w:ind w:left="720"/>
      <w:contextualSpacing/>
    </w:pPr>
  </w:style>
  <w:style w:type="table" w:styleId="Tabela-Siatka">
    <w:name w:val="Table Grid"/>
    <w:basedOn w:val="Standardowy"/>
    <w:uiPriority w:val="39"/>
    <w:rsid w:val="0062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7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7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7FBB"/>
    <w:rPr>
      <w:rFonts w:ascii="Times" w:hAnsi="Times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FBB"/>
    <w:rPr>
      <w:rFonts w:ascii="Times" w:hAnsi="Times"/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E0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16"/>
    <w:rPr>
      <w:rFonts w:ascii="Times" w:hAnsi="Times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E0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16"/>
    <w:rPr>
      <w:rFonts w:ascii="Times" w:hAnsi="Times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304F6-6E86-4478-9EB6-7D43C5EB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 Rektora ZUT z dnia 5 lutego 2024 r. w sprawie określenia harmonogramu postępowania dotyczącego oceny okresowej nauczycieli akademickich za lata 2020–2023</vt:lpstr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 Rektora ZUT z dnia 6 lutego 2024 r. w sprawie określenia harmonogramu postępowania dotyczącego oceny okresowej nauczycieli akademickich za lata 2020–2023</dc:title>
  <dc:subject/>
  <dc:creator>Karina Olejarz</dc:creator>
  <cp:keywords/>
  <dc:description/>
  <cp:lastModifiedBy>Gabriela Pasturczak</cp:lastModifiedBy>
  <cp:revision>10</cp:revision>
  <cp:lastPrinted>2024-02-05T13:32:00Z</cp:lastPrinted>
  <dcterms:created xsi:type="dcterms:W3CDTF">2024-02-05T08:19:00Z</dcterms:created>
  <dcterms:modified xsi:type="dcterms:W3CDTF">2024-02-07T08:12:00Z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2024-01-30T09:38:13Z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74c69dd3-f483-4370-833c-6f1c3ab4ee17</vt:lpwstr>
  </property>
  <property fmtid="{D5CDD505-2E9C-101B-9397-08002B2CF9AE}" pid="8" name="MSIP_Label_50945193-57ff-457d-9504-518e9bfb59a9_ContentBits">
    <vt:lpwstr>0</vt:lpwstr>
  </property>
</Properties>
</file>